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A" w:rsidRDefault="00FA2BDA" w:rsidP="009132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мерах поддержки</w:t>
      </w:r>
    </w:p>
    <w:p w:rsidR="009132FE" w:rsidRPr="009132FE" w:rsidRDefault="009132FE" w:rsidP="009132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32FE">
        <w:rPr>
          <w:rFonts w:ascii="Times New Roman" w:hAnsi="Times New Roman" w:cs="Times New Roman"/>
          <w:sz w:val="28"/>
          <w:szCs w:val="28"/>
        </w:rPr>
        <w:t>(представлена Депэкономразвития Югры)</w:t>
      </w:r>
    </w:p>
    <w:p w:rsidR="00DA53EA" w:rsidRPr="009562AA" w:rsidRDefault="00DA53EA" w:rsidP="009562AA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2AA" w:rsidRP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В Ханты-Мансийском автономном округе – Югре реализуются федеральные и регион</w:t>
      </w:r>
      <w:bookmarkStart w:id="0" w:name="_GoBack"/>
      <w:bookmarkEnd w:id="0"/>
      <w:r w:rsidRPr="009562AA">
        <w:rPr>
          <w:rFonts w:ascii="Times New Roman" w:eastAsia="Calibri" w:hAnsi="Times New Roman" w:cs="Times New Roman"/>
          <w:bCs/>
          <w:sz w:val="28"/>
          <w:szCs w:val="28"/>
        </w:rPr>
        <w:t>альные меры поддержки:</w:t>
      </w:r>
    </w:p>
    <w:p w:rsidR="009562AA" w:rsidRP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выплаты субсидий на заработную плату;</w:t>
      </w:r>
    </w:p>
    <w:p w:rsidR="009562AA" w:rsidRP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предоставлена отсрочка уплаты обязательных платежей;</w:t>
      </w:r>
    </w:p>
    <w:p w:rsidR="009562AA" w:rsidRP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предоставлена отсрочка уплаты арендной платы;</w:t>
      </w:r>
    </w:p>
    <w:p w:rsidR="009562AA" w:rsidRP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предоставление кредитов на неотложные нужды;</w:t>
      </w:r>
    </w:p>
    <w:p w:rsidR="009562AA" w:rsidRDefault="009562A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компенса</w:t>
      </w:r>
      <w:r w:rsidR="001122C7">
        <w:rPr>
          <w:rFonts w:ascii="Times New Roman" w:eastAsia="Calibri" w:hAnsi="Times New Roman" w:cs="Times New Roman"/>
          <w:bCs/>
          <w:sz w:val="28"/>
          <w:szCs w:val="28"/>
        </w:rPr>
        <w:t>ция некоторых затрат субъектов м</w:t>
      </w:r>
      <w:r w:rsidRPr="009562AA">
        <w:rPr>
          <w:rFonts w:ascii="Times New Roman" w:eastAsia="Calibri" w:hAnsi="Times New Roman" w:cs="Times New Roman"/>
          <w:bCs/>
          <w:sz w:val="28"/>
          <w:szCs w:val="28"/>
        </w:rPr>
        <w:t>алого и среднего предпринимательства.</w:t>
      </w:r>
    </w:p>
    <w:p w:rsidR="00452CFA" w:rsidRDefault="00452CFA" w:rsidP="00FA2B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452CFA">
        <w:rPr>
          <w:rFonts w:ascii="Times New Roman" w:eastAsia="Calibri" w:hAnsi="Times New Roman" w:cs="Times New Roman"/>
          <w:bCs/>
          <w:sz w:val="28"/>
          <w:szCs w:val="28"/>
        </w:rPr>
        <w:t xml:space="preserve"> целях обеспечения социальной стабильности и устойчивого развития экономики автономного округа, в условиях распространения новой коронавирусной инфекции (COVID-19) распоряжением Правительства автономного округа от </w:t>
      </w:r>
      <w:r w:rsidR="00FA2BDA">
        <w:rPr>
          <w:rFonts w:ascii="Times New Roman" w:eastAsia="Calibri" w:hAnsi="Times New Roman" w:cs="Times New Roman"/>
          <w:bCs/>
          <w:sz w:val="28"/>
          <w:szCs w:val="28"/>
        </w:rPr>
        <w:t xml:space="preserve">09.04.2020 </w:t>
      </w:r>
      <w:r w:rsidRPr="00452CFA">
        <w:rPr>
          <w:rFonts w:ascii="Times New Roman" w:eastAsia="Calibri" w:hAnsi="Times New Roman" w:cs="Times New Roman"/>
          <w:bCs/>
          <w:sz w:val="28"/>
          <w:szCs w:val="28"/>
        </w:rPr>
        <w:t>№ 169-рп утвержден план первоочередных мероприятий (действий) по обеспечению устойчивого развития экономики автономного округа на 2020 год.</w:t>
      </w:r>
    </w:p>
    <w:p w:rsidR="003C414B" w:rsidRP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связи с введением в автономном округе ограничительных мер по предотвращению распространения новой коронавирусной инфекции для поддержки субъектов МСП в сложной эпидемиологической ситуации в автономном округе приняты следующие меры: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1) Законом автономного округа от 01.04.2020 № 35-оз «О внесении изменений в отдельные законы Ханты-Мансийского автономного 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>округа – Югры» для субъектов МСП, применяющих упрощенную систему</w:t>
      </w:r>
      <w:r w:rsidR="007361DD" w:rsidRPr="007361D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налогообложения с объектом налогообложения «доходы», снижена на 2020</w:t>
      </w:r>
      <w:r w:rsidR="007361DD" w:rsidRPr="007361DD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год ставка по налогу до 1% (статья 2 Закона автономного округа от 30.12.2008 № 166-оз «О ставках налога, уплачиваемого в связи с применением упрощенной системы налогообложения»).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 Постановлением Правительства автономного округа от 20.03.2020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№ 88-п «О предоставлении дополнительных мер поддержки субъектам малого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и среднего предпринимательства» предоставлена отсрочка арендной платы, начисленной за период с 01.03.2020 по 31.12.2020, и ее уплата равными частями в сроки, предусмотренные договорами аренды в 2021 году, или на иных условиях, предложенных арендаторами, по согласованию сторон: субъектам МСП за владение и (или) пользование имуществом, находящимся в государственной собственности автономного округа, за исключением жилых помещений, земельными участками, государственная собственность на которые не разграничена, переданными им в аренду; организациям и индивидуальным предпринимателям, осуществляющим деятельность в сфере пассажирских перевозок на водном, воздушном и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стоматологической практики, розничной торговли непродовольственными товарами (в случае если деятельность таких объектов торговли была приостановлена), жилищного строительства, строительства, реконструкции объектов здравоохранения, образования, социального обслуживания, спорта, жилищно-коммунального хозяйства, дорожной деятельности.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Также, введен мораторий на применение штрафов, процентов за пользование чужими денежными средствами или иных мер ответственности в связи с несоблюдением арендаторами порядка и сроков внесения арендной платы (в том числе в случаях, если такие меры предусмотрены договором аренды) в связи с отсрочкой. 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Отсрочка арендной платы предоставлена субъектам МСП также во всех 22-х муниципальных образованиях автономного округа, в отношении имущества и земельных участков, находящихся в муниципальной собственности.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3) Организациями инфраструктуры поддержки малого и среднего предпринимательства автономного округа предусмотрены следующие меры поддержки: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введен мораторий на начисление неустойки (штрафов, пеней) по договорам микрозайма (на период действия режима повышенной готовности);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предоставлена возможность реструктуризации (изменение графика платежей) в связи с отсрочкой погашения основного долга по договору микрозайма для заемщиков, испытывающих трудности с оплатой текущих платежей;</w:t>
      </w:r>
    </w:p>
    <w:p w:rsidR="003C414B" w:rsidRP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правилами предоставления микрозаймов </w:t>
      </w:r>
      <w:r w:rsidRPr="00247748">
        <w:rPr>
          <w:rFonts w:ascii="TimesNewRomanPSMT" w:hAnsi="TimesNewRomanPSMT" w:cs="TimesNewRomanPSMT"/>
          <w:color w:val="000000"/>
          <w:sz w:val="28"/>
          <w:szCs w:val="28"/>
        </w:rPr>
        <w:t>Фонда</w:t>
      </w:r>
      <w:r w:rsidR="00247748">
        <w:rPr>
          <w:rFonts w:ascii="TimesNewRomanPSMT" w:hAnsi="TimesNewRomanPSMT" w:cs="TimesNewRomanPSMT"/>
          <w:color w:val="000000"/>
          <w:sz w:val="28"/>
          <w:szCs w:val="28"/>
        </w:rPr>
        <w:t xml:space="preserve"> «Югорская региональная микрокредитная компания» (далее – Фонд)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предусмотрена широкая продуктовая линейка финансирования бизнеса. Следует отметить,</w:t>
      </w:r>
      <w:r w:rsidR="007361DD" w:rsidRPr="00D3423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что процентные ставки по микрозаймам Фонда носят льготный характер и</w:t>
      </w:r>
      <w:r w:rsidR="007361DD" w:rsidRPr="00D3423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находятся в диапазоне от ключевой ставки банка России (от 4,25 % годовых до 9 % годовых), что существенно ниже процентных ставок в банках и определяются в зависимости от отношения заемщика к тем или иным приоритетным категориям, определенным Минэкономразвития России;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внесены изменения в правила предоставления микрозаймов, в части дополнения положениями, устанавливающими особенности применения Правил в периоды действия в Российской Федерации и (или) в автономном</w:t>
      </w:r>
      <w:r w:rsidR="00D34237" w:rsidRPr="00D3423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округе режима повышенной готовности или чрезвычайной ситуации (предусмотрена возможность предоставления микрозаймов субъектам МСП при наличии у них просрочек по кредитным договорам, договорам займа, договорам лизинга сроком до 30 дней);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внесены изменения в порядок предоставления гарантийной поддержки субъектам МСП, в части снижения суммы вознаграждения по выдаваемым поручительствам до 0,5 % годовых и отсрочке по ее выплате до декабря 2021 года;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утвержден порядок компенсации банковской процентной ставки субъектам малого и среднего предпринимательства, осуществляющим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деятельность в отраслях пострадавших от распространения новой коронавирусной инфекции. Компенсация банковской процентной ставки предоставляется по кредитным договорам, исчисляемых от суммы фактически уплаченных процентов по кредитному договору, с периодичностью, установленной для уплаты процентов по кредитному договору (в размере 50% и 100% для Особой категории Субъектов).</w:t>
      </w:r>
    </w:p>
    <w:p w:rsidR="003C414B" w:rsidRDefault="003C414B" w:rsidP="00FA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Максимальная сумма компенсации банковской процентной ставки одному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Субъекту не может превышать </w:t>
      </w:r>
      <w:r w:rsidR="004B7661">
        <w:rPr>
          <w:rFonts w:ascii="TimesNewRomanPSMT" w:hAnsi="TimesNewRomanPSMT" w:cs="TimesNewRomanPSMT"/>
          <w:color w:val="000000"/>
          <w:sz w:val="28"/>
          <w:szCs w:val="28"/>
        </w:rPr>
        <w:t>1 млн.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рублей</w:t>
      </w:r>
      <w:r w:rsidR="004B766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(включительно). Компенсации банковской процентной ставки подлежат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платежи, фактически уплаченные Субъектом по кредитным договорам за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период до даты подачи заявления на предоставление финансовой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поддержки. Периодом, подлежащим компенсации банковской процентной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ставки, признается квартал, полугодие, девять месяцев финансового года в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котором подано заявление на предоставление финансовой поддержки.</w:t>
      </w:r>
    </w:p>
    <w:p w:rsidR="00283C0F" w:rsidRDefault="003C414B" w:rsidP="00283C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Помимо изложенного, органами местного самоуправления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муниципальных образований автономного округа</w:t>
      </w:r>
      <w:r w:rsidR="00283C0F">
        <w:rPr>
          <w:rFonts w:ascii="TimesNewRomanPSMT" w:hAnsi="TimesNewRomanPSMT" w:cs="TimesNewRomanPSMT"/>
          <w:color w:val="000000"/>
          <w:sz w:val="28"/>
          <w:szCs w:val="28"/>
        </w:rPr>
        <w:t xml:space="preserve"> (ОМСУ)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в соответствии с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муниципальными нормативными правовыми актами, в рамках реализации</w:t>
      </w:r>
      <w:r w:rsidR="00283C0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регионального проекта «Расширение доступа субъектов малого и среднего</w:t>
      </w:r>
      <w:r w:rsidR="00283C0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предпринимательства к финансовой поддержке, в том числе к льготному</w:t>
      </w:r>
      <w:r w:rsidR="003858E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финансированию» </w:t>
      </w:r>
      <w:r w:rsidR="00283C0F" w:rsidRPr="00BC46F4">
        <w:rPr>
          <w:rFonts w:ascii="Times New Roman" w:hAnsi="Times New Roman" w:cs="Times New Roman"/>
          <w:sz w:val="28"/>
          <w:szCs w:val="28"/>
        </w:rPr>
        <w:t>предоставляют</w:t>
      </w:r>
      <w:r w:rsidR="0073508D" w:rsidRPr="00354417">
        <w:rPr>
          <w:rFonts w:ascii="Times New Roman" w:hAnsi="Times New Roman" w:cs="Times New Roman"/>
          <w:sz w:val="28"/>
          <w:szCs w:val="28"/>
        </w:rPr>
        <w:t>ся</w:t>
      </w:r>
      <w:r w:rsidR="00283C0F" w:rsidRPr="00BC46F4">
        <w:rPr>
          <w:rFonts w:ascii="Times New Roman" w:hAnsi="Times New Roman" w:cs="Times New Roman"/>
          <w:sz w:val="28"/>
          <w:szCs w:val="28"/>
        </w:rPr>
        <w:t xml:space="preserve"> различные меры </w:t>
      </w:r>
      <w:r w:rsidR="00283C0F">
        <w:rPr>
          <w:rFonts w:ascii="Times New Roman" w:hAnsi="Times New Roman" w:cs="Times New Roman"/>
          <w:sz w:val="28"/>
          <w:szCs w:val="28"/>
        </w:rPr>
        <w:t>финансовой поддержки субъектам, в том числе: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1.</w:t>
      </w:r>
      <w:r w:rsidRPr="00FB53C9">
        <w:rPr>
          <w:rFonts w:ascii="Times New Roman" w:hAnsi="Times New Roman" w:cs="Times New Roman"/>
          <w:sz w:val="28"/>
          <w:szCs w:val="28"/>
        </w:rPr>
        <w:tab/>
        <w:t xml:space="preserve">Предоставление финансовой поддержки субъектам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FB53C9">
        <w:rPr>
          <w:rFonts w:ascii="Times New Roman" w:hAnsi="Times New Roman" w:cs="Times New Roman"/>
          <w:sz w:val="28"/>
          <w:szCs w:val="28"/>
        </w:rPr>
        <w:t>, осуществляющим социально значимые виды деятельности в муниципальных образованиях, в том числе социальным предприятиям в виде возмещения затрат: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аренду (субаренду) нежилых помещений, находящихся в частной собственности;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lastRenderedPageBreak/>
        <w:t>на приобретение нового оборудования (основных средств) и лицензионных программных продуктов;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обязательную и добровольную сертификацию (декларирование) продукции (в том числе продовольственного сырья) местных товаропроизводителей;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консалтинговые услуги;</w:t>
      </w:r>
      <w:r w:rsidRPr="00FB53C9">
        <w:rPr>
          <w:rFonts w:ascii="Times New Roman" w:hAnsi="Times New Roman" w:cs="Times New Roman"/>
          <w:sz w:val="28"/>
          <w:szCs w:val="28"/>
        </w:rPr>
        <w:tab/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проведение специальной оценки условий труда;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повышение квалификации;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патента;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 xml:space="preserve">на обустройство помещений для занятий спортом и открытых спортивных площадок; 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оплату коммунальных услуг;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контрольно-кассовой техники;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нестационарных торговых объектов;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развитие товаропроводящей сети (возмещение затрат, связанных с реализацией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создание и (или) развитие центров (групп) времяпрепровождения детей, в том числе кратковременного пребывания детей и дошкольных образовательных центров (возмещение затрат на аренду (субаренду) и (или) выкуп нежилых помещений, ремонт (реконструкцию) помещений для осуществления деятельности, приобретение оборудования, материалов и инвентаря);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lastRenderedPageBreak/>
        <w:t>на энергосбережение (возмещение затрат на приобретение и внедрение инновационных технологий, оборудования и материалов, проведение на объектах энергетических обследований);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создание коворкинг-центров (возмещение затрат на аренду (субаренду) и (или) выкуп нежилых помещений, на ремонт (реконструкцию) помещений, на оборудование рабочих мест для субъектов МСП и помещений для проведения совещаний (конференций);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2.</w:t>
      </w:r>
      <w:r w:rsidRPr="00FB53C9">
        <w:rPr>
          <w:rFonts w:ascii="Times New Roman" w:hAnsi="Times New Roman" w:cs="Times New Roman"/>
          <w:sz w:val="28"/>
          <w:szCs w:val="28"/>
        </w:rPr>
        <w:tab/>
        <w:t xml:space="preserve">Предоставление финансовой поддержки впервые зарегистрированным и действующим менее 1 года субъектам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FB53C9">
        <w:rPr>
          <w:rFonts w:ascii="Times New Roman" w:hAnsi="Times New Roman" w:cs="Times New Roman"/>
          <w:sz w:val="28"/>
          <w:szCs w:val="28"/>
        </w:rPr>
        <w:t>, осуществляющим социально значимые виды деятельности в муниципальных образованиях, в том числе социальным предприятиям в виде возмещения затрат: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государственную регистрацию юридического лица или индивидуального предпринимателя;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аренду (субаренду) нежилых помещений, находящихся в частной собственности;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оплату коммунальных услуг нежилых помещений;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основных средств (оборудование, оргтехника, мебель);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инвентаря производственного назначения;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рекламу;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выплаты по передаче прав на франшизу (паушальный взнос);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ремонтные работы в нежилых помещений, выполняемые при подготовке помещений к эксплуатации.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3.</w:t>
      </w:r>
      <w:r w:rsidRPr="00FB53C9">
        <w:rPr>
          <w:rFonts w:ascii="Times New Roman" w:hAnsi="Times New Roman" w:cs="Times New Roman"/>
          <w:sz w:val="28"/>
          <w:szCs w:val="28"/>
        </w:rPr>
        <w:tab/>
        <w:t>Предоставление финансовой поддержки инновационным компаниям, деятельность которых заключается в практическом применении (внедрении) результатов интеллектуальной деятельности в виде возмещения затрат: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lastRenderedPageBreak/>
        <w:t>на 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результатов интеллектуальной деятельности (в том числе прав на патенты, лицензии на использование изобретений, промышленных образцов, полезных моделей);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программных продуктов;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аренду (субаренду) нежилых помещений;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сертификацию и патентование.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4.</w:t>
      </w:r>
      <w:r w:rsidR="00E849CF">
        <w:rPr>
          <w:rFonts w:ascii="Times New Roman" w:hAnsi="Times New Roman" w:cs="Times New Roman"/>
          <w:sz w:val="28"/>
          <w:szCs w:val="28"/>
        </w:rPr>
        <w:t xml:space="preserve"> </w:t>
      </w:r>
      <w:r w:rsidRPr="00FB53C9">
        <w:rPr>
          <w:rFonts w:ascii="Times New Roman" w:hAnsi="Times New Roman" w:cs="Times New Roman"/>
          <w:sz w:val="28"/>
          <w:szCs w:val="28"/>
        </w:rPr>
        <w:t xml:space="preserve">Предоставление финансовой поддержки субъектам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FB53C9">
        <w:rPr>
          <w:rFonts w:ascii="Times New Roman" w:hAnsi="Times New Roman" w:cs="Times New Roman"/>
          <w:sz w:val="28"/>
          <w:szCs w:val="28"/>
        </w:rPr>
        <w:t>, зарегистрированным и (или) состоящим на налоговом учете и осуществляющим свою деятельность на территории, включенной в перечень, утвержденный постановлением Правительства Российской Федерации от 23 мая 2000 года № 402 «Об утверждении Перечня районов Крайнего Севера и приравненных к ним местностей с ограниченными сроками завоза грузов (продукции)» в виде возмещения затрат: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строительство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и (или) доставку кормов для сельскохозяйственных животных и птицы;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приобретение и (или) доставку муки для производства хлеба и хлебобулочных изделий;</w:t>
      </w:r>
    </w:p>
    <w:p w:rsidR="00283C0F" w:rsidRPr="00FB53C9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на доставку продуктов питания первой необходимости.</w:t>
      </w:r>
    </w:p>
    <w:p w:rsidR="00283C0F" w:rsidRDefault="00283C0F" w:rsidP="00283C0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C9">
        <w:rPr>
          <w:rFonts w:ascii="Times New Roman" w:hAnsi="Times New Roman" w:cs="Times New Roman"/>
          <w:sz w:val="28"/>
          <w:szCs w:val="28"/>
        </w:rPr>
        <w:t>5.</w:t>
      </w:r>
      <w:r w:rsidRPr="00FB53C9">
        <w:rPr>
          <w:rFonts w:ascii="Times New Roman" w:hAnsi="Times New Roman" w:cs="Times New Roman"/>
          <w:sz w:val="28"/>
          <w:szCs w:val="28"/>
        </w:rPr>
        <w:tab/>
        <w:t xml:space="preserve">Предоставление финансовой поддержки субъектам </w:t>
      </w:r>
      <w:r>
        <w:rPr>
          <w:rFonts w:ascii="Times New Roman" w:hAnsi="Times New Roman" w:cs="Times New Roman"/>
          <w:sz w:val="28"/>
          <w:szCs w:val="28"/>
        </w:rPr>
        <w:t xml:space="preserve">МСП </w:t>
      </w:r>
      <w:r w:rsidRPr="00FB53C9">
        <w:rPr>
          <w:rFonts w:ascii="Times New Roman" w:hAnsi="Times New Roman" w:cs="Times New Roman"/>
          <w:sz w:val="28"/>
          <w:szCs w:val="28"/>
        </w:rPr>
        <w:t>на создание и (или) развитие деятельности центров молодежного инновационного творчества.</w:t>
      </w:r>
    </w:p>
    <w:p w:rsidR="00283C0F" w:rsidRDefault="00283C0F" w:rsidP="00283C0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283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софинансировании из бюджета автономного округа по государственной программе «Развитие экономического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потенциала» осуществляют предоставление финансовой поддержки субъектам МСП,</w:t>
      </w:r>
      <w:r w:rsidRPr="0028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деятельность в отраслях, пострадавших от распространения новой коронавирусной инфекции, вызванной COVID-19,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возмещения части затрат на </w:t>
      </w:r>
      <w:r w:rsidRPr="00283C0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 (субаренду) нежилых помещений, находящихся в коммерческой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коммунальные и </w:t>
      </w:r>
      <w:r w:rsidRPr="00283C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3EA" w:rsidRPr="009562AA" w:rsidRDefault="00283C0F" w:rsidP="00FA2BD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DA53EA"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продления сроков оказания мер поддержки субъектам малого и среднего предпринимательства,</w:t>
      </w:r>
      <w:r w:rsidR="00DA53EA" w:rsidRPr="009562AA">
        <w:t xml:space="preserve"> </w:t>
      </w:r>
      <w:r w:rsidR="00DA53EA"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деятельность в наибольшей степени пострадавших отраслях российской экономики в результате распространения новой корон</w:t>
      </w:r>
      <w:r w:rsidR="006B06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53EA"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вирусной инфекции, и введения дополнительных мер поддержки,</w:t>
      </w:r>
      <w:r w:rsidR="0024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Думу Ханты-Мансийского автономного округа – Югры внесен законопроект,</w:t>
      </w:r>
      <w:r w:rsidR="00DA53EA"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предусмотрено:</w:t>
      </w:r>
    </w:p>
    <w:p w:rsidR="00DA53EA" w:rsidRPr="009562AA" w:rsidRDefault="00DA53EA" w:rsidP="00FA2BDA">
      <w:pPr>
        <w:pStyle w:val="ae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на 2021 год сниженной до 1% для субъектов малого бизнеса, осуществляющих деятельность в сферах, наиболее пострадавших в условиях ухудшения ситуации, ставки налога по упрощенной системе налогообложения и выбравших в качестве объекта налогообложения доходы.</w:t>
      </w:r>
    </w:p>
    <w:p w:rsidR="00DA53EA" w:rsidRPr="009562AA" w:rsidRDefault="00DA53EA" w:rsidP="00FA2BDA">
      <w:pPr>
        <w:pStyle w:val="ae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Сохранение на 2021 год сниженной до 1% для субъектов МСП ставки по налогу на имущество организаций в отношении объектов недвижимого имущества, налоговая база по которым определяется как их кадастровая стоимость.</w:t>
      </w:r>
    </w:p>
    <w:p w:rsidR="00DA53EA" w:rsidRPr="009562AA" w:rsidRDefault="00DA53EA" w:rsidP="00FA2BDA">
      <w:pPr>
        <w:pStyle w:val="ae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действующих размеров потенциально возможного к получению годового дохода по патентной системе налогообложения.</w:t>
      </w:r>
    </w:p>
    <w:p w:rsidR="00DA53EA" w:rsidRPr="009562AA" w:rsidRDefault="00DA53EA" w:rsidP="00FA2BDA">
      <w:pPr>
        <w:pStyle w:val="ae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периметра применения патентной системы налогообложения за счет:</w:t>
      </w:r>
    </w:p>
    <w:p w:rsidR="00DA53EA" w:rsidRPr="009562AA" w:rsidRDefault="00DA53EA" w:rsidP="00FA2BD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предельного размера площади стационарной торговой сети, имеющих торговые залы, и объектов организации общественного питания, имеющих залы обслуживания посетителей с 50 до 150 кв. м;</w:t>
      </w:r>
    </w:p>
    <w:p w:rsidR="00DA53EA" w:rsidRPr="009562AA" w:rsidRDefault="00DA53EA" w:rsidP="00FA2BDA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дополнительных видов предпринимательской деятельности, подпадающих под действие патентной системы налогообложения.</w:t>
      </w:r>
    </w:p>
    <w:p w:rsidR="00DA53EA" w:rsidRPr="009562AA" w:rsidRDefault="00DA53EA" w:rsidP="00FA2BDA">
      <w:pPr>
        <w:pStyle w:val="ae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на 2021 год льготы по налогу на имущество </w:t>
      </w:r>
      <w:r w:rsidRPr="00956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для субъектов малого предпринимательства - арендаторов в отношении объектов, предоставляемых арендодателями для осуществления деятельности в сфере образования, здравоохранения, культуры, спорта, общественного питания и бытового обслуживания, при условии снижения размера арендной платы не менее, чем на 50 процентов и предоставления отсрочки по ее уплате.</w:t>
      </w:r>
    </w:p>
    <w:p w:rsidR="00DA53EA" w:rsidRPr="00D34237" w:rsidRDefault="00243CE3" w:rsidP="00FA2B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позволит в 2021 году снизить налоговую нагрузку не</w:t>
      </w:r>
      <w:r w:rsidR="00DA53EA" w:rsidRPr="009562AA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F0610A" w:rsidRPr="009562AA">
        <w:rPr>
          <w:rFonts w:ascii="Times New Roman" w:hAnsi="Times New Roman" w:cs="Times New Roman"/>
          <w:sz w:val="28"/>
          <w:szCs w:val="28"/>
        </w:rPr>
        <w:t>15 тыс</w:t>
      </w:r>
      <w:r w:rsidR="00DA53EA" w:rsidRPr="009562AA">
        <w:rPr>
          <w:rFonts w:ascii="Times New Roman" w:hAnsi="Times New Roman" w:cs="Times New Roman"/>
          <w:sz w:val="28"/>
          <w:szCs w:val="28"/>
        </w:rPr>
        <w:t>. субъектов малого и среднего предпринимательства</w:t>
      </w:r>
      <w:r w:rsidR="00D342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53EA" w:rsidRPr="00D34237" w:rsidSect="00B06AB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F1" w:rsidRDefault="00677EF1" w:rsidP="00F27F03">
      <w:pPr>
        <w:spacing w:after="0" w:line="240" w:lineRule="auto"/>
      </w:pPr>
      <w:r>
        <w:separator/>
      </w:r>
    </w:p>
  </w:endnote>
  <w:endnote w:type="continuationSeparator" w:id="0">
    <w:p w:rsidR="00677EF1" w:rsidRDefault="00677EF1" w:rsidP="00F2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F1" w:rsidRDefault="00677EF1" w:rsidP="00F27F03">
      <w:pPr>
        <w:spacing w:after="0" w:line="240" w:lineRule="auto"/>
      </w:pPr>
      <w:r>
        <w:separator/>
      </w:r>
    </w:p>
  </w:footnote>
  <w:footnote w:type="continuationSeparator" w:id="0">
    <w:p w:rsidR="00677EF1" w:rsidRDefault="00677EF1" w:rsidP="00F2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03556"/>
      <w:docPartObj>
        <w:docPartGallery w:val="Page Numbers (Top of Page)"/>
        <w:docPartUnique/>
      </w:docPartObj>
    </w:sdtPr>
    <w:sdtEndPr/>
    <w:sdtContent>
      <w:p w:rsidR="00B06ABD" w:rsidRDefault="00B06A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007">
          <w:rPr>
            <w:noProof/>
          </w:rPr>
          <w:t>2</w:t>
        </w:r>
        <w:r>
          <w:fldChar w:fldCharType="end"/>
        </w:r>
      </w:p>
    </w:sdtContent>
  </w:sdt>
  <w:p w:rsidR="00B06ABD" w:rsidRDefault="00B06A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BDA" w:rsidRDefault="00FA2BDA">
    <w:pPr>
      <w:pStyle w:val="a3"/>
      <w:jc w:val="center"/>
    </w:pPr>
  </w:p>
  <w:p w:rsidR="00FA2BDA" w:rsidRDefault="00FA2B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0C64"/>
    <w:multiLevelType w:val="hybridMultilevel"/>
    <w:tmpl w:val="A49090A0"/>
    <w:lvl w:ilvl="0" w:tplc="55D43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23"/>
    <w:rsid w:val="000F7BF7"/>
    <w:rsid w:val="001122C7"/>
    <w:rsid w:val="001B65CC"/>
    <w:rsid w:val="00243CE3"/>
    <w:rsid w:val="00247748"/>
    <w:rsid w:val="00283C0F"/>
    <w:rsid w:val="002B0D23"/>
    <w:rsid w:val="002C232A"/>
    <w:rsid w:val="00354417"/>
    <w:rsid w:val="003858EF"/>
    <w:rsid w:val="003C414B"/>
    <w:rsid w:val="00452CFA"/>
    <w:rsid w:val="004B7661"/>
    <w:rsid w:val="005748EE"/>
    <w:rsid w:val="005A6203"/>
    <w:rsid w:val="005B6AFD"/>
    <w:rsid w:val="00677EF1"/>
    <w:rsid w:val="00690FFB"/>
    <w:rsid w:val="006A577C"/>
    <w:rsid w:val="006B064C"/>
    <w:rsid w:val="00713EA2"/>
    <w:rsid w:val="0073504E"/>
    <w:rsid w:val="0073508D"/>
    <w:rsid w:val="007361DD"/>
    <w:rsid w:val="007502BB"/>
    <w:rsid w:val="00762F14"/>
    <w:rsid w:val="008C437F"/>
    <w:rsid w:val="00911007"/>
    <w:rsid w:val="009132FE"/>
    <w:rsid w:val="009562AA"/>
    <w:rsid w:val="00A65C36"/>
    <w:rsid w:val="00B06ABD"/>
    <w:rsid w:val="00BB1081"/>
    <w:rsid w:val="00D15923"/>
    <w:rsid w:val="00D34237"/>
    <w:rsid w:val="00DA53EA"/>
    <w:rsid w:val="00DB07DA"/>
    <w:rsid w:val="00DB13FA"/>
    <w:rsid w:val="00E001D8"/>
    <w:rsid w:val="00E849CF"/>
    <w:rsid w:val="00F0610A"/>
    <w:rsid w:val="00F27F03"/>
    <w:rsid w:val="00F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E815"/>
  <w15:docId w15:val="{49884363-4BFE-4860-8446-6401D5A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F03"/>
  </w:style>
  <w:style w:type="paragraph" w:styleId="a5">
    <w:name w:val="footer"/>
    <w:basedOn w:val="a"/>
    <w:link w:val="a6"/>
    <w:uiPriority w:val="99"/>
    <w:unhideWhenUsed/>
    <w:rsid w:val="00F2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F03"/>
  </w:style>
  <w:style w:type="character" w:customStyle="1" w:styleId="a7">
    <w:name w:val="Привязка сноски"/>
    <w:rsid w:val="00DA53EA"/>
    <w:rPr>
      <w:vertAlign w:val="superscript"/>
    </w:rPr>
  </w:style>
  <w:style w:type="character" w:customStyle="1" w:styleId="ListLabel1">
    <w:name w:val="ListLabel 1"/>
    <w:qFormat/>
    <w:rsid w:val="00DA53EA"/>
    <w:rPr>
      <w:rFonts w:ascii="Times New Roman" w:hAnsi="Times New Roman" w:cs="Times New Roman"/>
      <w:i/>
      <w:color w:val="auto"/>
      <w:spacing w:val="-2"/>
      <w:sz w:val="28"/>
      <w:szCs w:val="28"/>
    </w:rPr>
  </w:style>
  <w:style w:type="character" w:customStyle="1" w:styleId="a8">
    <w:name w:val="Символ сноски"/>
    <w:qFormat/>
    <w:rsid w:val="00DA53EA"/>
  </w:style>
  <w:style w:type="character" w:customStyle="1" w:styleId="ListLabel4">
    <w:name w:val="ListLabel 4"/>
    <w:qFormat/>
    <w:rsid w:val="00DA53EA"/>
    <w:rPr>
      <w:rFonts w:ascii="Times New Roman" w:hAnsi="Times New Roman" w:cs="Times New Roman"/>
      <w:i/>
      <w:color w:val="auto"/>
      <w:sz w:val="28"/>
      <w:szCs w:val="28"/>
    </w:rPr>
  </w:style>
  <w:style w:type="paragraph" w:styleId="a9">
    <w:name w:val="Body Text"/>
    <w:basedOn w:val="a"/>
    <w:link w:val="aa"/>
    <w:rsid w:val="00DA53EA"/>
    <w:pPr>
      <w:spacing w:after="140"/>
    </w:pPr>
    <w:rPr>
      <w:rFonts w:ascii="Arial" w:eastAsia="Tahoma" w:hAnsi="Arial" w:cs="Liberation Sans"/>
      <w:color w:val="000000"/>
      <w:kern w:val="2"/>
      <w:sz w:val="36"/>
      <w:szCs w:val="24"/>
    </w:rPr>
  </w:style>
  <w:style w:type="character" w:customStyle="1" w:styleId="aa">
    <w:name w:val="Основной текст Знак"/>
    <w:basedOn w:val="a0"/>
    <w:link w:val="a9"/>
    <w:rsid w:val="00DA53EA"/>
    <w:rPr>
      <w:rFonts w:ascii="Arial" w:eastAsia="Tahoma" w:hAnsi="Arial" w:cs="Liberation Sans"/>
      <w:color w:val="000000"/>
      <w:kern w:val="2"/>
      <w:sz w:val="36"/>
      <w:szCs w:val="24"/>
    </w:rPr>
  </w:style>
  <w:style w:type="paragraph" w:styleId="HTML">
    <w:name w:val="HTML Preformatted"/>
    <w:basedOn w:val="a"/>
    <w:link w:val="HTML0"/>
    <w:uiPriority w:val="99"/>
    <w:qFormat/>
    <w:rsid w:val="00DA5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53EA"/>
    <w:rPr>
      <w:rFonts w:ascii="Courier New" w:eastAsia="Times New Roman" w:hAnsi="Courier New" w:cs="Courier New"/>
      <w:color w:val="000000"/>
      <w:kern w:val="2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A53EA"/>
    <w:pPr>
      <w:spacing w:after="0" w:line="240" w:lineRule="auto"/>
    </w:pPr>
    <w:rPr>
      <w:rFonts w:ascii="Arial" w:eastAsia="Tahoma" w:hAnsi="Arial" w:cs="Liberation Sans"/>
      <w:color w:val="000000"/>
      <w:kern w:val="2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A53EA"/>
    <w:rPr>
      <w:rFonts w:ascii="Arial" w:eastAsia="Tahoma" w:hAnsi="Arial" w:cs="Liberation Sans"/>
      <w:color w:val="000000"/>
      <w:kern w:val="2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A53EA"/>
    <w:rPr>
      <w:vertAlign w:val="superscript"/>
    </w:rPr>
  </w:style>
  <w:style w:type="paragraph" w:styleId="ae">
    <w:name w:val="List Paragraph"/>
    <w:basedOn w:val="a"/>
    <w:uiPriority w:val="34"/>
    <w:qFormat/>
    <w:rsid w:val="00DA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0CA9-D82C-433D-BC9A-4720B941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Абдулина Алёна Николаевна</dc:creator>
  <cp:lastModifiedBy>Яцик Михаил Михайлович</cp:lastModifiedBy>
  <cp:revision>2</cp:revision>
  <dcterms:created xsi:type="dcterms:W3CDTF">2021-01-05T10:23:00Z</dcterms:created>
  <dcterms:modified xsi:type="dcterms:W3CDTF">2021-01-05T10:23:00Z</dcterms:modified>
</cp:coreProperties>
</file>