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7B" w:rsidRDefault="0049137B" w:rsidP="0049137B">
      <w:pPr>
        <w:ind w:firstLine="709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Размер субсидий по направлениям и порядок расчета</w:t>
      </w:r>
    </w:p>
    <w:p w:rsidR="0049137B" w:rsidRDefault="0049137B" w:rsidP="0049137B">
      <w:pPr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49137B" w:rsidRDefault="0049137B" w:rsidP="0049137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предоставления субсидий, перечень компенсируемых затрат, компенсируемый процент, максимальный размер субсидии отражены                     в </w:t>
      </w:r>
      <w:hyperlink r:id="rId4" w:anchor="sub_11225" w:history="1">
        <w:r w:rsidRPr="0049137B">
          <w:rPr>
            <w:rStyle w:val="a5"/>
            <w:color w:val="000000" w:themeColor="text1"/>
            <w:sz w:val="28"/>
            <w:szCs w:val="28"/>
          </w:rPr>
          <w:t>таблице</w:t>
        </w:r>
      </w:hyperlink>
      <w:r w:rsidRPr="00491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137B" w:rsidRDefault="0049137B" w:rsidP="0049137B">
      <w:pPr>
        <w:ind w:firstLine="698"/>
        <w:jc w:val="right"/>
        <w:rPr>
          <w:rStyle w:val="a4"/>
          <w:b w:val="0"/>
          <w:bCs/>
          <w:color w:val="auto"/>
        </w:rPr>
      </w:pPr>
      <w:bookmarkStart w:id="0" w:name="sub_251"/>
      <w:bookmarkStart w:id="1" w:name="_GoBack"/>
      <w:bookmarkEnd w:id="1"/>
    </w:p>
    <w:p w:rsidR="0049137B" w:rsidRPr="0049137B" w:rsidRDefault="0049137B" w:rsidP="0049137B">
      <w:pPr>
        <w:ind w:firstLine="698"/>
        <w:jc w:val="right"/>
        <w:rPr>
          <w:rFonts w:cs="Times New Roman"/>
        </w:rPr>
      </w:pPr>
      <w:r>
        <w:rPr>
          <w:rStyle w:val="a4"/>
          <w:rFonts w:ascii="Times New Roman" w:hAnsi="Times New Roman"/>
          <w:bCs/>
          <w:sz w:val="28"/>
          <w:szCs w:val="28"/>
        </w:rPr>
        <w:t>Таблица</w:t>
      </w:r>
      <w:bookmarkEnd w:id="0"/>
    </w:p>
    <w:tbl>
      <w:tblPr>
        <w:tblW w:w="950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833"/>
      </w:tblGrid>
      <w:tr w:rsidR="0049137B" w:rsidRPr="0049137B" w:rsidTr="0049137B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7B" w:rsidRPr="0049137B" w:rsidRDefault="0049137B" w:rsidP="005D4C6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49137B" w:rsidRPr="0049137B" w:rsidRDefault="0049137B" w:rsidP="005D4C6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49137B" w:rsidRPr="0049137B" w:rsidRDefault="0049137B" w:rsidP="005D4C6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7B" w:rsidRPr="0049137B" w:rsidRDefault="0049137B" w:rsidP="005D4C6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Компенсируемый процент, максимальный размер субсидии, перечень компенсируемых затрат</w:t>
            </w:r>
          </w:p>
        </w:tc>
      </w:tr>
      <w:tr w:rsidR="0049137B" w:rsidRPr="0049137B" w:rsidTr="0049137B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1. Возмещение части затрат на рекламу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Возмещение осуществляется в размере 50% от фактически понесенных и документально подтвержденных затрат, но не более 20 тыс. рублей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на одного участника отбора в год.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подлежат затраты участников отбора                     на рекламу осуществляемой деятельности, </w:t>
            </w:r>
            <w:r w:rsidRPr="004913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связанной                  с применением специального налогового режима «Налог на профессиональный доход»</w:t>
            </w: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- изготовление, печать, размещение печатной продукции, наружной рекламы (листовки, брошюры, щитовые установки (рекламные щиты), наземные, каркасные панно, вывески, электронные экраны (табло), проекционные установки);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таргетированную</w:t>
            </w:r>
            <w:proofErr w:type="spellEnd"/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 рекламу;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- рекламу в печатных изданиях, порталах/сайтах;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изготовление, прокат видео-, </w:t>
            </w:r>
            <w:proofErr w:type="spellStart"/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аудиороликов</w:t>
            </w:r>
            <w:proofErr w:type="spellEnd"/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 в эфире телеканалов и радиостанций</w:t>
            </w:r>
          </w:p>
        </w:tc>
      </w:tr>
      <w:tr w:rsidR="0049137B" w:rsidRPr="0049137B" w:rsidTr="0049137B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7B" w:rsidRPr="0049137B" w:rsidRDefault="0049137B" w:rsidP="005D4C6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2. Возмещение части затрат по предоставленным консалтинговым услугам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Возмещение осуществляется в размере 50% от фактически понесенных и документально подтвержденных затрат, но не более 30 тыс. рублей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на одного участника отбора в год по договорам, заключенным на оказание услуг: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- по консультированию производителей, продавцов, покупателей по широкому кругу вопросов экономики, финансов, внешнеэкономических связей, исследования    и прогнозирования рынка товаров и услуг, инноваций;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- по оказанию помощи в ведении бизнеса</w:t>
            </w:r>
          </w:p>
        </w:tc>
      </w:tr>
      <w:tr w:rsidR="0049137B" w:rsidRPr="0049137B" w:rsidTr="0049137B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3. Возмещение части затрат на аренду нежилых помещений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7B" w:rsidRPr="0049137B" w:rsidRDefault="0049137B" w:rsidP="005D4C64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Возмещение осуществляется в размере 50% от фактически понесенных и документально подтвержденных затрат, но не более 100 тыс. рублей на одного участника отбора в год. </w:t>
            </w:r>
          </w:p>
          <w:p w:rsidR="0049137B" w:rsidRPr="0049137B" w:rsidRDefault="0049137B" w:rsidP="005D4C6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возмещению принимаются затраты участников отбора по договорам аренды (субаренды) нежилых помещений, используемых в целях осуществления вида </w:t>
            </w:r>
            <w:r w:rsidRPr="004913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деятельности, доходы от которого облагаются налогом на профессиональный доход </w:t>
            </w: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нежилых помещений, находящихся в государственной и муниципальной собственности, включенных в перечни имущества в соответствии с </w:t>
            </w:r>
            <w:hyperlink r:id="rId5" w:history="1">
              <w:r w:rsidRPr="0049137B">
                <w:rPr>
                  <w:rStyle w:val="a3"/>
                  <w:rFonts w:ascii="Times New Roman" w:hAnsi="Times New Roman"/>
                  <w:sz w:val="28"/>
                  <w:szCs w:val="28"/>
                </w:rPr>
                <w:t>Федеральным законом</w:t>
              </w:r>
            </w:hyperlink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24.07.2007 № 209-ФЗ «О развитии малого и среднего предпринимательства в Российской Федерации»)</w:t>
            </w:r>
            <w:r w:rsidRPr="004913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без учета коммунальных услуг и за завершенный расчетный период.</w:t>
            </w:r>
          </w:p>
          <w:p w:rsidR="0049137B" w:rsidRPr="0049137B" w:rsidRDefault="0049137B" w:rsidP="0049137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 включения в арендную плату стоимости коммунальных услуг, в договоре аренды (субаренды) должна отражаться сумма арендной платы за пользование нежилым помещением и сумма платежей за коммунальные услуги, либо порядок их расчета, позволяющий рассчитать сумму арендной платы и (или) сумму коммунальных услуг</w:t>
            </w:r>
          </w:p>
        </w:tc>
      </w:tr>
      <w:tr w:rsidR="0049137B" w:rsidRPr="0049137B" w:rsidTr="0049137B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Возмещение части затрат по уплате страховых взносов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7B" w:rsidRPr="0049137B" w:rsidRDefault="0049137B" w:rsidP="0049137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осуществляется в размере не более 30 тыс. рублей на одного участника отбора в год по договорам добровольного пенсионного страхования </w:t>
            </w:r>
          </w:p>
        </w:tc>
      </w:tr>
      <w:tr w:rsidR="0049137B" w:rsidRPr="0049137B" w:rsidTr="0049137B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5. Возмещение части затрат                  на приобретение оборудования                  и инструментов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Возмещение осуществляется в размере 50% от фактически понесенных и документально подтвержденных затрат, но не более 100 тыс. рублей на одного участника отбора в год.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участникам отбора осуществляется на приобретение оборудования                            и инструментов, относящихся к основным средствам, содержащегося в группировке 320 «Информационное, компьютерное и телекоммуникационное оборудование» или в группировке 330 «Прочие машины и оборудование, включая хозяйственный инвентарь, и другие объекты» «Общероссийского классификатора основных фондов» (ОКОФ), принятого и введенного в действие Приказом Федерального агентства по техническому регулированию и метрологии от 12.12.2014 № 2018-ст.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Возмещению не подлежат затраты участников отбора: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- 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      </w:r>
          </w:p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>- на доставку и монтаж оборудования.</w:t>
            </w:r>
          </w:p>
        </w:tc>
      </w:tr>
      <w:tr w:rsidR="0049137B" w:rsidRPr="007223F2" w:rsidTr="0049137B">
        <w:tblPrEx>
          <w:tblCellMar>
            <w:top w:w="0" w:type="dxa"/>
            <w:bottom w:w="0" w:type="dxa"/>
          </w:tblCellMar>
        </w:tblPrEx>
        <w:tc>
          <w:tcPr>
            <w:tcW w:w="2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6. Возмещение части затрат                         на обучение, </w:t>
            </w:r>
            <w:r w:rsidRPr="00491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квалификации, профессиональную переподготовку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7B" w:rsidRPr="0049137B" w:rsidRDefault="0049137B" w:rsidP="005D4C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Возмещение осуществляется в размере 50% от фактически понесенных и документально подтвержденных затрат, но не более 10 тыс. рублей на </w:t>
            </w:r>
            <w:r w:rsidRPr="00491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одного участника отбора в год.</w:t>
            </w:r>
          </w:p>
          <w:p w:rsidR="0049137B" w:rsidRPr="0049137B" w:rsidRDefault="0049137B" w:rsidP="0049137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подлежат фактически произведенные                    и документально подтвержденные затраты участников отбора по договорам на оказание услуг по обучению, повышению квалификации, профессиональной переподготовке по виду деятельности, доходы </w:t>
            </w:r>
            <w:r w:rsidRPr="004913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которого облагаются налогом на профессиональный доход</w:t>
            </w:r>
            <w:r w:rsidRPr="0049137B">
              <w:rPr>
                <w:rFonts w:ascii="Times New Roman" w:hAnsi="Times New Roman" w:cs="Times New Roman"/>
                <w:sz w:val="28"/>
                <w:szCs w:val="28"/>
              </w:rPr>
              <w:t xml:space="preserve"> при предъявлении копий удостоверений, дипломов, свидетельств, а также копий документов об обучении, выданных по образцу и в порядке, которые установлены организациями и индивидуальными предпринимателями, осуществляющими образовательную деятельность, самостоятельно</w:t>
            </w:r>
          </w:p>
        </w:tc>
      </w:tr>
    </w:tbl>
    <w:p w:rsidR="001B32CD" w:rsidRDefault="001B32CD"/>
    <w:sectPr w:rsidR="001B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7B"/>
    <w:rsid w:val="001B32CD"/>
    <w:rsid w:val="0049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C948"/>
  <w15:chartTrackingRefBased/>
  <w15:docId w15:val="{AB31D917-1FF9-4D8E-B79C-7A8D7648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3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37B"/>
    <w:rPr>
      <w:rFonts w:cs="Times New Roman"/>
      <w:color w:val="0563C1" w:themeColor="hyperlink"/>
      <w:u w:val="single"/>
    </w:rPr>
  </w:style>
  <w:style w:type="character" w:customStyle="1" w:styleId="a4">
    <w:name w:val="Цветовое выделение"/>
    <w:uiPriority w:val="99"/>
    <w:rsid w:val="0049137B"/>
    <w:rPr>
      <w:b/>
      <w:bCs w:val="0"/>
      <w:color w:val="26282F"/>
    </w:rPr>
  </w:style>
  <w:style w:type="character" w:customStyle="1" w:styleId="a5">
    <w:name w:val="Гипертекстовая ссылка"/>
    <w:uiPriority w:val="99"/>
    <w:rsid w:val="0049137B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54854.0" TargetMode="External"/><Relationship Id="rId4" Type="http://schemas.openxmlformats.org/officeDocument/2006/relationships/hyperlink" Target="file:///F:\Users\slesareva_da\Downloads\(2021_07_02)_Razmer_subsidiy_po_napravleniyam_i_poryadok_raschet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Дарья Андреевна</dc:creator>
  <cp:keywords/>
  <dc:description/>
  <cp:lastModifiedBy>Слесарева Дарья Андреевна</cp:lastModifiedBy>
  <cp:revision>1</cp:revision>
  <dcterms:created xsi:type="dcterms:W3CDTF">2021-09-29T06:18:00Z</dcterms:created>
  <dcterms:modified xsi:type="dcterms:W3CDTF">2021-09-29T06:23:00Z</dcterms:modified>
</cp:coreProperties>
</file>