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F2" w:rsidRPr="002147F3" w:rsidRDefault="006431F2" w:rsidP="0033584C">
      <w:pPr>
        <w:jc w:val="center"/>
        <w:rPr>
          <w:rFonts w:cs="Times New Roman"/>
          <w:sz w:val="27"/>
          <w:szCs w:val="27"/>
        </w:rPr>
      </w:pPr>
      <w:bookmarkStart w:id="0" w:name="_GoBack"/>
      <w:r w:rsidRPr="002147F3">
        <w:rPr>
          <w:rFonts w:cs="Times New Roman"/>
          <w:sz w:val="27"/>
          <w:szCs w:val="27"/>
        </w:rPr>
        <w:t>Соглашение</w:t>
      </w:r>
    </w:p>
    <w:p w:rsidR="006431F2" w:rsidRPr="002147F3" w:rsidRDefault="006431F2" w:rsidP="0033584C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о сопровождении при реализации инвестиционного проекта</w:t>
      </w:r>
    </w:p>
    <w:p w:rsidR="006431F2" w:rsidRPr="002147F3" w:rsidRDefault="006431F2" w:rsidP="0033584C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по принципу «одного окна» в муниципальном образовании </w:t>
      </w:r>
    </w:p>
    <w:p w:rsidR="006431F2" w:rsidRPr="002147F3" w:rsidRDefault="006431F2" w:rsidP="0033584C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городской округ Сургут Ханты-Мансийского автономного округа - Югры*</w:t>
      </w:r>
    </w:p>
    <w:p w:rsidR="006431F2" w:rsidRPr="002147F3" w:rsidRDefault="006431F2" w:rsidP="0033584C">
      <w:pPr>
        <w:rPr>
          <w:rFonts w:cs="Times New Roman"/>
          <w:sz w:val="27"/>
          <w:szCs w:val="27"/>
        </w:rPr>
      </w:pPr>
    </w:p>
    <w:bookmarkEnd w:id="0"/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г. Сургут                                                                  «___» ___________ 20___ года</w:t>
      </w: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>Администрация города Сургута, действующая о имени муниципального образования городской округ Сургут Ханты-Мансийского автономного округа – Югры, именуемая в дальнейшем «Муниципальное</w:t>
      </w:r>
      <w:r w:rsidRPr="002147F3">
        <w:rPr>
          <w:rFonts w:cs="Times New Roman"/>
          <w:sz w:val="27"/>
          <w:szCs w:val="27"/>
        </w:rPr>
        <w:t xml:space="preserve"> образование», «Администрация города», в лице __________________________,  действующего на основании ___________________________________________, </w:t>
      </w:r>
      <w:r w:rsidRPr="002147F3">
        <w:rPr>
          <w:rFonts w:cs="Times New Roman"/>
          <w:spacing w:val="-4"/>
          <w:sz w:val="27"/>
          <w:szCs w:val="27"/>
        </w:rPr>
        <w:t xml:space="preserve">с одной стороны, </w:t>
      </w:r>
      <w:r w:rsidR="009F79F5">
        <w:rPr>
          <w:rFonts w:cs="Times New Roman"/>
          <w:spacing w:val="-4"/>
          <w:sz w:val="27"/>
          <w:szCs w:val="27"/>
        </w:rPr>
        <w:t xml:space="preserve">                                                    </w:t>
      </w:r>
      <w:r w:rsidRPr="002147F3">
        <w:rPr>
          <w:rFonts w:cs="Times New Roman"/>
          <w:spacing w:val="-4"/>
          <w:sz w:val="27"/>
          <w:szCs w:val="27"/>
        </w:rPr>
        <w:t>и ___________________________________________, именуемое</w:t>
      </w:r>
      <w:r w:rsidRPr="002147F3">
        <w:rPr>
          <w:rFonts w:cs="Times New Roman"/>
          <w:sz w:val="27"/>
          <w:szCs w:val="27"/>
        </w:rPr>
        <w:t xml:space="preserve"> в дальнейшем «Инвестор», в лице __________________________________,   действующего на основании __________________________, с другой стороны, совместно именуемые «Стороны», заключили настоящее Соглашение о нижеследующем.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1. Предмет Соглашения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Предметом настоящего Соглашения являются намерения Сторон                                  по сотрудничеству в целях обеспечения реализации инвестиционного проекта                      на территории муниципального образования городской округ                                               Сургут</w:t>
      </w:r>
      <w:r w:rsidR="005807FB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Ханты-Мансийского</w:t>
      </w:r>
      <w:r w:rsidR="005807FB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автономного округа</w:t>
      </w:r>
      <w:r w:rsidR="005807FB" w:rsidRPr="002147F3">
        <w:rPr>
          <w:rFonts w:cs="Times New Roman"/>
          <w:sz w:val="27"/>
          <w:szCs w:val="27"/>
        </w:rPr>
        <w:t xml:space="preserve"> – </w:t>
      </w:r>
      <w:r w:rsidRPr="002147F3">
        <w:rPr>
          <w:rFonts w:cs="Times New Roman"/>
          <w:sz w:val="27"/>
          <w:szCs w:val="27"/>
        </w:rPr>
        <w:t>Югры</w:t>
      </w:r>
      <w:r w:rsidRPr="002147F3">
        <w:rPr>
          <w:rFonts w:cs="Times New Roman"/>
          <w:szCs w:val="28"/>
        </w:rPr>
        <w:t>__________________________________________</w:t>
      </w:r>
      <w:r w:rsidRPr="002147F3">
        <w:rPr>
          <w:rFonts w:cs="Times New Roman"/>
          <w:sz w:val="27"/>
          <w:szCs w:val="27"/>
        </w:rPr>
        <w:t>______________________</w:t>
      </w:r>
    </w:p>
    <w:p w:rsidR="006431F2" w:rsidRPr="002147F3" w:rsidRDefault="006431F2" w:rsidP="006431F2">
      <w:pPr>
        <w:ind w:firstLine="709"/>
        <w:jc w:val="center"/>
        <w:rPr>
          <w:rFonts w:cs="Times New Roman"/>
          <w:sz w:val="22"/>
        </w:rPr>
      </w:pPr>
      <w:r w:rsidRPr="002147F3">
        <w:rPr>
          <w:rFonts w:cs="Times New Roman"/>
          <w:sz w:val="22"/>
        </w:rPr>
        <w:t>(наименование инвестиционного проекта)</w:t>
      </w:r>
    </w:p>
    <w:p w:rsidR="006431F2" w:rsidRPr="002147F3" w:rsidRDefault="006431F2" w:rsidP="006431F2">
      <w:pPr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(далее – инвестиционный проект), включенного в перечень объектов социально-культурного и коммунально-бытового назначения, масштабных инвестиционных проектов, утвержденных _________________________________________________, </w:t>
      </w:r>
    </w:p>
    <w:p w:rsidR="006431F2" w:rsidRPr="002147F3" w:rsidRDefault="006431F2" w:rsidP="006431F2">
      <w:pPr>
        <w:ind w:firstLine="709"/>
        <w:jc w:val="center"/>
        <w:rPr>
          <w:rFonts w:cs="Times New Roman"/>
          <w:sz w:val="22"/>
        </w:rPr>
      </w:pPr>
      <w:r w:rsidRPr="002147F3">
        <w:rPr>
          <w:rFonts w:cs="Times New Roman"/>
          <w:sz w:val="22"/>
        </w:rPr>
        <w:t xml:space="preserve">                                         (государственная и/или муниципальная программа)</w:t>
      </w:r>
    </w:p>
    <w:p w:rsidR="006431F2" w:rsidRPr="002147F3" w:rsidRDefault="006431F2" w:rsidP="006431F2">
      <w:pPr>
        <w:jc w:val="both"/>
        <w:rPr>
          <w:rFonts w:cs="Times New Roman"/>
          <w:strike/>
          <w:color w:val="FF0000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и включение его в </w:t>
      </w:r>
      <w:r w:rsidR="005807FB" w:rsidRPr="002147F3">
        <w:rPr>
          <w:rFonts w:cs="Times New Roman"/>
          <w:sz w:val="27"/>
          <w:szCs w:val="27"/>
        </w:rPr>
        <w:t xml:space="preserve">перечень </w:t>
      </w:r>
      <w:r w:rsidRPr="002147F3">
        <w:rPr>
          <w:rFonts w:cs="Times New Roman"/>
          <w:sz w:val="27"/>
          <w:szCs w:val="27"/>
        </w:rPr>
        <w:t>инвестиционных проектов, реализу</w:t>
      </w:r>
      <w:r w:rsidR="005807FB" w:rsidRPr="002147F3">
        <w:rPr>
          <w:rFonts w:cs="Times New Roman"/>
          <w:sz w:val="27"/>
          <w:szCs w:val="27"/>
        </w:rPr>
        <w:t>емых</w:t>
      </w:r>
      <w:r w:rsidRPr="002147F3">
        <w:rPr>
          <w:rFonts w:cs="Times New Roman"/>
          <w:sz w:val="27"/>
          <w:szCs w:val="27"/>
        </w:rPr>
        <w:t xml:space="preserve"> и (или) планиру</w:t>
      </w:r>
      <w:r w:rsidR="005807FB" w:rsidRPr="002147F3">
        <w:rPr>
          <w:rFonts w:cs="Times New Roman"/>
          <w:sz w:val="27"/>
          <w:szCs w:val="27"/>
        </w:rPr>
        <w:t>емых</w:t>
      </w:r>
      <w:r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pacing w:val="-4"/>
          <w:sz w:val="27"/>
          <w:szCs w:val="27"/>
        </w:rPr>
        <w:t>к реализации на территории муниципального образования городской округ Сургут</w:t>
      </w:r>
      <w:r w:rsidRPr="002147F3">
        <w:rPr>
          <w:rFonts w:cs="Times New Roman"/>
          <w:sz w:val="27"/>
          <w:szCs w:val="27"/>
        </w:rPr>
        <w:t xml:space="preserve"> Ханты-Мансийского автономного округа – Югры.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В инвестиционный проект предполагается вложение средств Инвестора              в размере __________________ (_______________________________________),                которые будут способствовать социально-экономическому развитию города                            и созданию новых рабочих мест.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 Права и обязанности Сторон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2.1. Администрация вправе предоставлять Инвестору в порядке,                                        не противоречащем законодательству Российской Федерации, муниципальную поддержку на период реализации вплоть до создания результата инвестиционной деятельности.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2.2. Администрация в пределах своей компетенции и в соответствии                                с действующим законодательством обязана: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2.2.1. В пределах своих полномочий оказывать Инвестору информационно-консультационную поддержку в решении вопросов, возникающих в связи                                   с реализацией инвестиционного проекта.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>2.2.2. Организовать сопровождение инвестиционного проекта при согласовании</w:t>
      </w:r>
      <w:r w:rsidRPr="002147F3">
        <w:rPr>
          <w:rFonts w:cs="Times New Roman"/>
          <w:sz w:val="27"/>
          <w:szCs w:val="27"/>
        </w:rPr>
        <w:t xml:space="preserve"> необходимой документации.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2.3. Инвестор имеет право: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lastRenderedPageBreak/>
        <w:t xml:space="preserve">2.3.1. На получение консультаций и оказание организационного сопровождения </w:t>
      </w:r>
      <w:r w:rsidRPr="002147F3">
        <w:rPr>
          <w:rFonts w:cs="Times New Roman"/>
          <w:sz w:val="27"/>
          <w:szCs w:val="27"/>
        </w:rPr>
        <w:t xml:space="preserve">инвестиционного проекта, в соответствии с регламентом сопровождения инвестиционных проектов по принципу «одного окна» в муниципальном образовании городской округ Сургут </w:t>
      </w:r>
      <w:r w:rsidRPr="002147F3">
        <w:rPr>
          <w:rFonts w:cs="Times New Roman"/>
          <w:szCs w:val="28"/>
        </w:rPr>
        <w:t>Ханты-Мансийского автономного округа – Югры</w:t>
      </w:r>
      <w:r w:rsidRPr="002147F3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pacing w:val="-6"/>
          <w:sz w:val="27"/>
          <w:szCs w:val="27"/>
        </w:rPr>
      </w:pPr>
      <w:r w:rsidRPr="002147F3">
        <w:rPr>
          <w:rFonts w:cs="Times New Roman"/>
          <w:spacing w:val="-6"/>
          <w:sz w:val="27"/>
          <w:szCs w:val="27"/>
        </w:rPr>
        <w:t>2.3.2. Самостоятельно определять объемы и направления капитальных вложений.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 Инвестор обязан: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Cs w:val="28"/>
        </w:rPr>
      </w:pPr>
      <w:r w:rsidRPr="002147F3">
        <w:rPr>
          <w:rFonts w:cs="Times New Roman"/>
          <w:sz w:val="27"/>
          <w:szCs w:val="27"/>
        </w:rPr>
        <w:t xml:space="preserve">2.4.1. За счет собственных средств (в том числе с применением </w:t>
      </w:r>
      <w:r w:rsidR="005807FB" w:rsidRPr="002147F3">
        <w:rPr>
          <w:rFonts w:cs="Times New Roman"/>
          <w:sz w:val="27"/>
          <w:szCs w:val="27"/>
        </w:rPr>
        <w:t xml:space="preserve">иных средств, включая средства всех уровней </w:t>
      </w:r>
      <w:r w:rsidRPr="002147F3">
        <w:rPr>
          <w:rFonts w:cs="Times New Roman"/>
          <w:sz w:val="27"/>
          <w:szCs w:val="27"/>
        </w:rPr>
        <w:t>бюджет</w:t>
      </w:r>
      <w:r w:rsidR="005807FB" w:rsidRPr="002147F3">
        <w:rPr>
          <w:rFonts w:cs="Times New Roman"/>
          <w:sz w:val="27"/>
          <w:szCs w:val="27"/>
        </w:rPr>
        <w:t xml:space="preserve">а бюджетной системы в </w:t>
      </w:r>
      <w:r w:rsidR="005019FF" w:rsidRPr="002147F3">
        <w:rPr>
          <w:rFonts w:cs="Times New Roman"/>
          <w:sz w:val="27"/>
          <w:szCs w:val="27"/>
        </w:rPr>
        <w:t>Р</w:t>
      </w:r>
      <w:r w:rsidR="005807FB" w:rsidRPr="002147F3">
        <w:rPr>
          <w:rFonts w:cs="Times New Roman"/>
          <w:sz w:val="27"/>
          <w:szCs w:val="27"/>
        </w:rPr>
        <w:t>оссийской Федерации</w:t>
      </w:r>
      <w:r w:rsidRPr="002147F3">
        <w:rPr>
          <w:rFonts w:cs="Times New Roman"/>
          <w:sz w:val="27"/>
          <w:szCs w:val="27"/>
        </w:rPr>
        <w:t xml:space="preserve"> в порядке, установленном федеральным законодательством, законодательством автономного округа, муниципальными правовыми актами) реализовать в городе инвестиционный проект _______________________________________________________________________</w:t>
      </w:r>
      <w:r w:rsidRPr="002147F3">
        <w:rPr>
          <w:rFonts w:cs="Times New Roman"/>
          <w:szCs w:val="28"/>
        </w:rPr>
        <w:t xml:space="preserve"> </w:t>
      </w:r>
    </w:p>
    <w:p w:rsidR="006431F2" w:rsidRPr="002147F3" w:rsidRDefault="006431F2" w:rsidP="006431F2">
      <w:pPr>
        <w:tabs>
          <w:tab w:val="left" w:pos="5790"/>
        </w:tabs>
        <w:ind w:firstLine="284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                                                       (наименование)</w:t>
      </w:r>
    </w:p>
    <w:p w:rsidR="006431F2" w:rsidRPr="002147F3" w:rsidRDefault="006431F2" w:rsidP="006431F2">
      <w:pPr>
        <w:pBdr>
          <w:bottom w:val="single" w:sz="12" w:space="1" w:color="auto"/>
        </w:pBd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2.4.2. Реализовать инвестиционный проект в соответствии со следующими этапами выполнения работ: </w:t>
      </w:r>
    </w:p>
    <w:p w:rsidR="006431F2" w:rsidRPr="002147F3" w:rsidRDefault="006431F2" w:rsidP="006431F2">
      <w:pPr>
        <w:pBdr>
          <w:bottom w:val="single" w:sz="12" w:space="1" w:color="auto"/>
        </w:pBdr>
        <w:jc w:val="both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709"/>
        <w:jc w:val="center"/>
        <w:rPr>
          <w:rFonts w:cs="Times New Roman"/>
          <w:sz w:val="20"/>
          <w:szCs w:val="20"/>
        </w:rPr>
      </w:pPr>
      <w:r w:rsidRPr="002147F3">
        <w:rPr>
          <w:rFonts w:cs="Times New Roman"/>
          <w:sz w:val="20"/>
          <w:szCs w:val="20"/>
        </w:rPr>
        <w:t>(этапы создания, реализации проекта)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2.4.3. Обеспечить своевременную уплату налогов и сборов во все уровни         бюджетов, предусмотренных действующим законодательством.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2.4.4. В ходе реализации инвестиционного проекта в период с _______                  по ______________ годы создать рабочие места в количестве не менее ___________ единиц</w:t>
      </w:r>
      <w:r w:rsidR="005807FB" w:rsidRPr="002147F3">
        <w:rPr>
          <w:rFonts w:cs="Times New Roman"/>
          <w:sz w:val="27"/>
          <w:szCs w:val="27"/>
        </w:rPr>
        <w:t>, предполагаемая мощность - _______________</w:t>
      </w:r>
      <w:r w:rsidRPr="002147F3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2.4.5 Завершить реализацию инвестиционного проекта до _______________. 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2.4.6. Представлять в уполномоченный орган: 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 xml:space="preserve">- </w:t>
      </w:r>
      <w:r w:rsidR="005019FF" w:rsidRPr="002147F3">
        <w:rPr>
          <w:rFonts w:cs="Times New Roman"/>
          <w:spacing w:val="-4"/>
          <w:sz w:val="27"/>
          <w:szCs w:val="27"/>
        </w:rPr>
        <w:t xml:space="preserve">информацию о ходе </w:t>
      </w:r>
      <w:r w:rsidRPr="002147F3">
        <w:rPr>
          <w:rFonts w:cs="Times New Roman"/>
          <w:spacing w:val="-4"/>
          <w:sz w:val="27"/>
          <w:szCs w:val="27"/>
        </w:rPr>
        <w:t>реализации инвестиционного проекта, включающий пояснительную   записку о выполненных этапах, а также о причинах (при наличии) отклонений</w:t>
      </w:r>
      <w:r w:rsidRPr="002147F3">
        <w:rPr>
          <w:rFonts w:cs="Times New Roman"/>
          <w:sz w:val="27"/>
          <w:szCs w:val="27"/>
        </w:rPr>
        <w:t xml:space="preserve"> от плановых показателей, определенных в рамках инвестиционного проекта</w:t>
      </w:r>
      <w:r w:rsidR="005019FF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(ежеквартально, не позднее 25 числа месяца, следующего за о</w:t>
      </w:r>
      <w:r w:rsidR="00261456">
        <w:rPr>
          <w:rFonts w:cs="Times New Roman"/>
          <w:sz w:val="27"/>
          <w:szCs w:val="27"/>
        </w:rPr>
        <w:t>тчетным кварталом)</w:t>
      </w:r>
      <w:r w:rsidRPr="002147F3">
        <w:rPr>
          <w:rFonts w:cs="Times New Roman"/>
          <w:sz w:val="27"/>
          <w:szCs w:val="27"/>
        </w:rPr>
        <w:t>;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- </w:t>
      </w:r>
      <w:r w:rsidR="005807FB" w:rsidRPr="002147F3">
        <w:rPr>
          <w:rFonts w:cs="Times New Roman"/>
          <w:sz w:val="27"/>
          <w:szCs w:val="27"/>
        </w:rPr>
        <w:t>к</w:t>
      </w:r>
      <w:r w:rsidRPr="002147F3">
        <w:rPr>
          <w:rFonts w:cs="Times New Roman"/>
          <w:sz w:val="27"/>
          <w:szCs w:val="27"/>
        </w:rPr>
        <w:t xml:space="preserve">опии бухгалтерской отчетности – ежегодно, в срок до 31 марта года, следующего за отчетным, справки из налогового органа о состоянии расчетов                   по местным налогам за отчетный период: по налогу на имущество физических лиц, земельному налогу с физических лиц – ежегодно, в срок до 25 января года, следующего за отчетным, по земельному налогу с организаций – ежегодно,                         в срок до 15 </w:t>
      </w:r>
      <w:r w:rsidR="00261456" w:rsidRPr="002147F3">
        <w:rPr>
          <w:rFonts w:cs="Times New Roman"/>
          <w:sz w:val="27"/>
          <w:szCs w:val="27"/>
        </w:rPr>
        <w:t>марта года</w:t>
      </w:r>
      <w:r w:rsidRPr="002147F3">
        <w:rPr>
          <w:rFonts w:cs="Times New Roman"/>
          <w:sz w:val="27"/>
          <w:szCs w:val="27"/>
        </w:rPr>
        <w:t>, следующего за отчетным</w:t>
      </w:r>
      <w:r w:rsidR="00261456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2.4.7. В случае изменения характеристик инвестиционного проекта, уведомить Администрацию в срок не более 30 календарных дней со дня принятия                    решения об изменении.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5019FF" w:rsidRDefault="005019FF" w:rsidP="006431F2">
      <w:pPr>
        <w:jc w:val="center"/>
        <w:rPr>
          <w:rFonts w:cs="Times New Roman"/>
          <w:sz w:val="27"/>
          <w:szCs w:val="27"/>
        </w:rPr>
      </w:pPr>
    </w:p>
    <w:p w:rsidR="00261456" w:rsidRPr="002147F3" w:rsidRDefault="00261456" w:rsidP="006431F2">
      <w:pPr>
        <w:jc w:val="center"/>
        <w:rPr>
          <w:rFonts w:cs="Times New Roman"/>
          <w:sz w:val="27"/>
          <w:szCs w:val="27"/>
        </w:rPr>
      </w:pPr>
    </w:p>
    <w:p w:rsidR="005019FF" w:rsidRPr="002147F3" w:rsidRDefault="005019FF" w:rsidP="006431F2">
      <w:pPr>
        <w:jc w:val="center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3. Ответственность Сторон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3.1. Стороны несут ответственность за неисполнение или ненадлежащее                  исполнение возложенных на них обязательств на основании и в порядке, определенном действующим законодательством.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lastRenderedPageBreak/>
        <w:t xml:space="preserve">3.2. Стороны не несут ответственности за полное или частичное неисполнение </w:t>
      </w:r>
      <w:r w:rsidRPr="002147F3">
        <w:rPr>
          <w:rFonts w:cs="Times New Roman"/>
          <w:sz w:val="27"/>
          <w:szCs w:val="27"/>
        </w:rPr>
        <w:t>обязательств по настоящему Соглашению, если такое неисполнение обусловлено форс-мажорными обстоятельствами (непреодолимой силой).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При возникновении обстоятельств непреодолимой силы Стороны обязаны                   в течение пяти дней письменно уведомить другую Сторону о наступлении таких обстоятельств.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4. Порядок разрешения споров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4.1. Все споры, возникающие из настоящего Соглашения, должны быть                      урегулированы путем переговоров.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4.2. При не достижении согласия спорные вопросы разрешаются                        </w:t>
      </w:r>
      <w:r w:rsidRPr="002147F3">
        <w:rPr>
          <w:rFonts w:cs="Times New Roman"/>
          <w:sz w:val="27"/>
          <w:szCs w:val="27"/>
        </w:rPr>
        <w:br/>
        <w:t xml:space="preserve">   в Арбитражном суде Ханты-Мансийского автономного округа – Югры                                      в соответствии с действующим законодательством Российской Федерации.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 Заключительные положения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5.1. В случае изменения юридических адресов Стороны обязуются сообщить об этом в трехдневный срок.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5.2. Изменения и дополнения к настоящему Соглашению должны быть                     внесены в письменной форме.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5.4. Настоящее Соглашение вступает в силу с даты его подписания                 Сторонами и действует до исполнения Сторонами своих обязательств по нему.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5.5. В случае неисполнения или ненадлежащего исполнения инвестором обязательств, администрация города в срок не более 10 рабочих дней с даты выявления направляет Инвестору уведомление о наличии оснований </w:t>
      </w:r>
      <w:r w:rsidR="005807FB" w:rsidRPr="002147F3">
        <w:rPr>
          <w:rFonts w:cs="Times New Roman"/>
          <w:sz w:val="27"/>
          <w:szCs w:val="27"/>
        </w:rPr>
        <w:t xml:space="preserve">                                            </w:t>
      </w:r>
      <w:r w:rsidRPr="002147F3">
        <w:rPr>
          <w:rFonts w:cs="Times New Roman"/>
          <w:sz w:val="27"/>
          <w:szCs w:val="27"/>
        </w:rPr>
        <w:t>для расторжения настоящего Соглашения.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5.5.1. В случае непредставления ответа в течение 10 рабочих дней с даты направления вышеуказанного уведомления Инвестором, Соглашение подлежит расторжению в одностороннем порядке.</w:t>
      </w: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6. Юридические адреса и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6431F2" w:rsidRPr="002147F3" w:rsidTr="0077132C"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Администрация города Сургута: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Инвестор: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</w:tc>
      </w:tr>
      <w:tr w:rsidR="006431F2" w:rsidRPr="002147F3" w:rsidTr="0077132C">
        <w:trPr>
          <w:trHeight w:val="490"/>
        </w:trPr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Адрес: </w:t>
            </w: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Адрес: </w:t>
            </w:r>
          </w:p>
        </w:tc>
      </w:tr>
      <w:tr w:rsidR="006431F2" w:rsidRPr="002147F3" w:rsidTr="0077132C"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______________________/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</w:t>
            </w:r>
          </w:p>
          <w:p w:rsidR="006431F2" w:rsidRPr="002147F3" w:rsidRDefault="006431F2" w:rsidP="0077132C">
            <w:pPr>
              <w:ind w:firstLine="567"/>
              <w:rPr>
                <w:sz w:val="20"/>
              </w:rPr>
            </w:pPr>
            <w:r w:rsidRPr="002147F3">
              <w:rPr>
                <w:sz w:val="20"/>
              </w:rPr>
              <w:t>М.П.</w:t>
            </w: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________________________/ 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________________________</w:t>
            </w:r>
          </w:p>
          <w:p w:rsidR="006431F2" w:rsidRPr="002147F3" w:rsidRDefault="006431F2" w:rsidP="0077132C">
            <w:pPr>
              <w:ind w:firstLine="567"/>
              <w:rPr>
                <w:sz w:val="20"/>
              </w:rPr>
            </w:pPr>
            <w:r w:rsidRPr="002147F3">
              <w:rPr>
                <w:sz w:val="20"/>
              </w:rPr>
              <w:t>М.П. (при – наличии)</w:t>
            </w:r>
          </w:p>
        </w:tc>
      </w:tr>
    </w:tbl>
    <w:p w:rsidR="006431F2" w:rsidRPr="002147F3" w:rsidRDefault="006431F2" w:rsidP="006431F2">
      <w:pPr>
        <w:ind w:firstLine="567"/>
        <w:rPr>
          <w:rFonts w:cs="Times New Roman"/>
          <w:sz w:val="27"/>
          <w:szCs w:val="27"/>
          <w:lang w:val="en-US"/>
        </w:rPr>
      </w:pP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  <w:r w:rsidRPr="002147F3">
        <w:rPr>
          <w:rStyle w:val="a8"/>
          <w:rFonts w:cs="Times New Roman"/>
          <w:b w:val="0"/>
          <w:bCs/>
          <w:color w:val="auto"/>
          <w:sz w:val="27"/>
          <w:szCs w:val="27"/>
        </w:rPr>
        <w:t>Примечание</w:t>
      </w:r>
      <w:r w:rsidRPr="002147F3">
        <w:rPr>
          <w:rFonts w:cs="Times New Roman"/>
          <w:b/>
          <w:sz w:val="27"/>
          <w:szCs w:val="27"/>
        </w:rPr>
        <w:t>:</w:t>
      </w:r>
      <w:r w:rsidRPr="002147F3">
        <w:rPr>
          <w:rFonts w:cs="Times New Roman"/>
          <w:sz w:val="27"/>
          <w:szCs w:val="27"/>
        </w:rPr>
        <w:t xml:space="preserve"> *данная форма Соглашения является типовой и может быть                       изменена по соглашению Сторон.</w:t>
      </w: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sectPr w:rsidR="006431F2" w:rsidRPr="002147F3" w:rsidSect="007D3C84">
      <w:pgSz w:w="11906" w:h="16838" w:code="9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DB" w:rsidRDefault="00D849DB" w:rsidP="006A432C">
      <w:r>
        <w:separator/>
      </w:r>
    </w:p>
  </w:endnote>
  <w:endnote w:type="continuationSeparator" w:id="0">
    <w:p w:rsidR="00D849DB" w:rsidRDefault="00D849D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DB" w:rsidRDefault="00D849DB" w:rsidP="006A432C">
      <w:r>
        <w:separator/>
      </w:r>
    </w:p>
  </w:footnote>
  <w:footnote w:type="continuationSeparator" w:id="0">
    <w:p w:rsidR="00D849DB" w:rsidRDefault="00D849DB" w:rsidP="006A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3"/>
    <w:rsid w:val="000259E3"/>
    <w:rsid w:val="00033635"/>
    <w:rsid w:val="000366EA"/>
    <w:rsid w:val="000503B8"/>
    <w:rsid w:val="00054D36"/>
    <w:rsid w:val="00065F6E"/>
    <w:rsid w:val="00082D62"/>
    <w:rsid w:val="00092C92"/>
    <w:rsid w:val="0009434A"/>
    <w:rsid w:val="000A6BEB"/>
    <w:rsid w:val="000A7092"/>
    <w:rsid w:val="000C5819"/>
    <w:rsid w:val="000D6F49"/>
    <w:rsid w:val="000F23D9"/>
    <w:rsid w:val="001018F4"/>
    <w:rsid w:val="001025F3"/>
    <w:rsid w:val="00115037"/>
    <w:rsid w:val="0012631A"/>
    <w:rsid w:val="00135532"/>
    <w:rsid w:val="0014494F"/>
    <w:rsid w:val="001668E7"/>
    <w:rsid w:val="001713C9"/>
    <w:rsid w:val="00180156"/>
    <w:rsid w:val="00192B52"/>
    <w:rsid w:val="00197FB8"/>
    <w:rsid w:val="001A108C"/>
    <w:rsid w:val="001B6DD3"/>
    <w:rsid w:val="001C1EC3"/>
    <w:rsid w:val="001E4EC4"/>
    <w:rsid w:val="001F3EBA"/>
    <w:rsid w:val="001F6B32"/>
    <w:rsid w:val="002066DE"/>
    <w:rsid w:val="00211B75"/>
    <w:rsid w:val="002147F3"/>
    <w:rsid w:val="00216A7F"/>
    <w:rsid w:val="0021727F"/>
    <w:rsid w:val="00226A5C"/>
    <w:rsid w:val="00243839"/>
    <w:rsid w:val="00246702"/>
    <w:rsid w:val="00261456"/>
    <w:rsid w:val="00270923"/>
    <w:rsid w:val="00273E49"/>
    <w:rsid w:val="0027796D"/>
    <w:rsid w:val="002815CA"/>
    <w:rsid w:val="0028406A"/>
    <w:rsid w:val="002852C5"/>
    <w:rsid w:val="002A6554"/>
    <w:rsid w:val="002B58AE"/>
    <w:rsid w:val="002C07EB"/>
    <w:rsid w:val="002E6DD9"/>
    <w:rsid w:val="002E7612"/>
    <w:rsid w:val="00325095"/>
    <w:rsid w:val="0033584C"/>
    <w:rsid w:val="003374F2"/>
    <w:rsid w:val="003416C5"/>
    <w:rsid w:val="003524AD"/>
    <w:rsid w:val="003559C1"/>
    <w:rsid w:val="003603D7"/>
    <w:rsid w:val="003821E4"/>
    <w:rsid w:val="0039716A"/>
    <w:rsid w:val="003A4225"/>
    <w:rsid w:val="003B77A9"/>
    <w:rsid w:val="003C1DF7"/>
    <w:rsid w:val="003D7E51"/>
    <w:rsid w:val="003F0DEC"/>
    <w:rsid w:val="003F5398"/>
    <w:rsid w:val="003F7FC2"/>
    <w:rsid w:val="00425694"/>
    <w:rsid w:val="0043088B"/>
    <w:rsid w:val="0044576D"/>
    <w:rsid w:val="00453591"/>
    <w:rsid w:val="00466182"/>
    <w:rsid w:val="00472929"/>
    <w:rsid w:val="00482856"/>
    <w:rsid w:val="00496584"/>
    <w:rsid w:val="004A09F4"/>
    <w:rsid w:val="004A2DCB"/>
    <w:rsid w:val="004B54D0"/>
    <w:rsid w:val="004C2B4A"/>
    <w:rsid w:val="004C55C7"/>
    <w:rsid w:val="004C7219"/>
    <w:rsid w:val="004C7B4B"/>
    <w:rsid w:val="004D1466"/>
    <w:rsid w:val="004D7FE9"/>
    <w:rsid w:val="004F69D7"/>
    <w:rsid w:val="005019FF"/>
    <w:rsid w:val="00501F1B"/>
    <w:rsid w:val="00530EF7"/>
    <w:rsid w:val="00563777"/>
    <w:rsid w:val="00577BFD"/>
    <w:rsid w:val="005807FB"/>
    <w:rsid w:val="00594C5C"/>
    <w:rsid w:val="005A187D"/>
    <w:rsid w:val="005C2EA0"/>
    <w:rsid w:val="005D1E76"/>
    <w:rsid w:val="005D40EB"/>
    <w:rsid w:val="005E00EF"/>
    <w:rsid w:val="005F2C91"/>
    <w:rsid w:val="00602F07"/>
    <w:rsid w:val="006225B2"/>
    <w:rsid w:val="00622D72"/>
    <w:rsid w:val="00623456"/>
    <w:rsid w:val="00634954"/>
    <w:rsid w:val="006431F2"/>
    <w:rsid w:val="006455E8"/>
    <w:rsid w:val="00670F0D"/>
    <w:rsid w:val="0067796C"/>
    <w:rsid w:val="00682A73"/>
    <w:rsid w:val="00695D86"/>
    <w:rsid w:val="00697120"/>
    <w:rsid w:val="006A432C"/>
    <w:rsid w:val="006A4704"/>
    <w:rsid w:val="006B3C1C"/>
    <w:rsid w:val="006B7897"/>
    <w:rsid w:val="006D67F7"/>
    <w:rsid w:val="006E4F42"/>
    <w:rsid w:val="00703DDE"/>
    <w:rsid w:val="007109FE"/>
    <w:rsid w:val="007237EB"/>
    <w:rsid w:val="0073010B"/>
    <w:rsid w:val="00757075"/>
    <w:rsid w:val="00764C83"/>
    <w:rsid w:val="0077132C"/>
    <w:rsid w:val="0078103C"/>
    <w:rsid w:val="00786A21"/>
    <w:rsid w:val="007B2BC9"/>
    <w:rsid w:val="007D3C84"/>
    <w:rsid w:val="007D5B41"/>
    <w:rsid w:val="00801D7F"/>
    <w:rsid w:val="00811F60"/>
    <w:rsid w:val="00817C17"/>
    <w:rsid w:val="0082012C"/>
    <w:rsid w:val="0082051E"/>
    <w:rsid w:val="00822A00"/>
    <w:rsid w:val="008246CB"/>
    <w:rsid w:val="00824C66"/>
    <w:rsid w:val="00833DC4"/>
    <w:rsid w:val="008369E4"/>
    <w:rsid w:val="0085086C"/>
    <w:rsid w:val="008564F2"/>
    <w:rsid w:val="00865FC6"/>
    <w:rsid w:val="008831CD"/>
    <w:rsid w:val="0088349B"/>
    <w:rsid w:val="00884D0D"/>
    <w:rsid w:val="00885D9D"/>
    <w:rsid w:val="00890473"/>
    <w:rsid w:val="008A36BC"/>
    <w:rsid w:val="008A5E26"/>
    <w:rsid w:val="008E50E3"/>
    <w:rsid w:val="008F44AC"/>
    <w:rsid w:val="009114CF"/>
    <w:rsid w:val="00922883"/>
    <w:rsid w:val="0092379E"/>
    <w:rsid w:val="009238DD"/>
    <w:rsid w:val="00924912"/>
    <w:rsid w:val="00931C75"/>
    <w:rsid w:val="00933E9C"/>
    <w:rsid w:val="00937C8C"/>
    <w:rsid w:val="00952FA6"/>
    <w:rsid w:val="00957315"/>
    <w:rsid w:val="00987873"/>
    <w:rsid w:val="0099270A"/>
    <w:rsid w:val="009B2BBE"/>
    <w:rsid w:val="009B6684"/>
    <w:rsid w:val="009E12CF"/>
    <w:rsid w:val="009F79F5"/>
    <w:rsid w:val="00A01494"/>
    <w:rsid w:val="00A01587"/>
    <w:rsid w:val="00A236BC"/>
    <w:rsid w:val="00A46937"/>
    <w:rsid w:val="00A51B29"/>
    <w:rsid w:val="00A528DD"/>
    <w:rsid w:val="00A56F81"/>
    <w:rsid w:val="00A62886"/>
    <w:rsid w:val="00A63121"/>
    <w:rsid w:val="00A83188"/>
    <w:rsid w:val="00A95886"/>
    <w:rsid w:val="00AB49C3"/>
    <w:rsid w:val="00AC1FF3"/>
    <w:rsid w:val="00B30AA5"/>
    <w:rsid w:val="00B43131"/>
    <w:rsid w:val="00B45684"/>
    <w:rsid w:val="00B5140B"/>
    <w:rsid w:val="00B94EC7"/>
    <w:rsid w:val="00BC69AB"/>
    <w:rsid w:val="00BC79EB"/>
    <w:rsid w:val="00BD149B"/>
    <w:rsid w:val="00BE41F0"/>
    <w:rsid w:val="00BE48A2"/>
    <w:rsid w:val="00BF2456"/>
    <w:rsid w:val="00BF2583"/>
    <w:rsid w:val="00C46CDB"/>
    <w:rsid w:val="00C5487E"/>
    <w:rsid w:val="00C7706F"/>
    <w:rsid w:val="00C77B4E"/>
    <w:rsid w:val="00C82A5E"/>
    <w:rsid w:val="00C92801"/>
    <w:rsid w:val="00CD29D0"/>
    <w:rsid w:val="00D03E54"/>
    <w:rsid w:val="00D05C4B"/>
    <w:rsid w:val="00D21A28"/>
    <w:rsid w:val="00D359CC"/>
    <w:rsid w:val="00D35A47"/>
    <w:rsid w:val="00D41AC7"/>
    <w:rsid w:val="00D44096"/>
    <w:rsid w:val="00D47832"/>
    <w:rsid w:val="00D62FD8"/>
    <w:rsid w:val="00D74CF4"/>
    <w:rsid w:val="00D804A9"/>
    <w:rsid w:val="00D849DB"/>
    <w:rsid w:val="00D90982"/>
    <w:rsid w:val="00DC30DD"/>
    <w:rsid w:val="00DD1F91"/>
    <w:rsid w:val="00E02DD8"/>
    <w:rsid w:val="00E07F2B"/>
    <w:rsid w:val="00E3328C"/>
    <w:rsid w:val="00E40A89"/>
    <w:rsid w:val="00E41BFD"/>
    <w:rsid w:val="00E92FB6"/>
    <w:rsid w:val="00EA5CA4"/>
    <w:rsid w:val="00EC5ED7"/>
    <w:rsid w:val="00ED2D03"/>
    <w:rsid w:val="00EE1D97"/>
    <w:rsid w:val="00EF72DA"/>
    <w:rsid w:val="00F22CBF"/>
    <w:rsid w:val="00F24679"/>
    <w:rsid w:val="00F27AAB"/>
    <w:rsid w:val="00F47ACC"/>
    <w:rsid w:val="00F53502"/>
    <w:rsid w:val="00F66A64"/>
    <w:rsid w:val="00F7477C"/>
    <w:rsid w:val="00F973B1"/>
    <w:rsid w:val="00FA3CF7"/>
    <w:rsid w:val="00FA58B7"/>
    <w:rsid w:val="00FD0E8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E50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8E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E50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8E50E3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8E50E3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8E50E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8E50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E50E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E50E3"/>
    <w:rPr>
      <w:rFonts w:cs="Times New Roman"/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8E50E3"/>
    <w:rPr>
      <w:rFonts w:cs="Times New Roman"/>
      <w:i/>
    </w:rPr>
  </w:style>
  <w:style w:type="paragraph" w:styleId="af">
    <w:name w:val="List Paragraph"/>
    <w:basedOn w:val="a"/>
    <w:uiPriority w:val="34"/>
    <w:qFormat/>
    <w:rsid w:val="008E50E3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F3EB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EBA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A6554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771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DA0E-D5DE-4DDF-9138-B566BCA2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2022-11-30T05:33:00Z</dcterms:created>
  <dcterms:modified xsi:type="dcterms:W3CDTF">2022-12-08T07:02:00Z</dcterms:modified>
</cp:coreProperties>
</file>