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18" w:rsidRPr="002E1C18" w:rsidRDefault="002E1C18" w:rsidP="002E1C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 xml:space="preserve">Декларация </w:t>
      </w:r>
    </w:p>
    <w:p w:rsidR="002E1C18" w:rsidRPr="002E1C18" w:rsidRDefault="002E1C18" w:rsidP="002E1C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 xml:space="preserve">о неосуществлении участником отбора деятельности по производству </w:t>
      </w:r>
    </w:p>
    <w:p w:rsidR="002E1C18" w:rsidRPr="002E1C18" w:rsidRDefault="002E1C18" w:rsidP="002E1C1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и (или) реализации подакцизных товаров</w:t>
      </w:r>
    </w:p>
    <w:p w:rsidR="002E1C18" w:rsidRPr="002E1C18" w:rsidRDefault="002E1C18" w:rsidP="002E1C18">
      <w:pPr>
        <w:spacing w:line="240" w:lineRule="auto"/>
        <w:rPr>
          <w:rFonts w:ascii="Times New Roman" w:eastAsia="Calibri" w:hAnsi="Times New Roman" w:cs="Times New Roman"/>
        </w:rPr>
      </w:pPr>
    </w:p>
    <w:p w:rsidR="002E1C18" w:rsidRPr="002E1C18" w:rsidRDefault="002E1C18" w:rsidP="002E1C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Участник отбора _____________________________________________________</w:t>
      </w:r>
    </w:p>
    <w:p w:rsidR="002E1C18" w:rsidRPr="002E1C18" w:rsidRDefault="002E1C18" w:rsidP="002E1C1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</w:rPr>
      </w:pPr>
      <w:r w:rsidRPr="002E1C18">
        <w:rPr>
          <w:rFonts w:ascii="Times New Roman" w:eastAsia="Calibri" w:hAnsi="Times New Roman" w:cs="Times New Roman"/>
        </w:rPr>
        <w:t xml:space="preserve">                        (полное наименование и организационно-правовая форма юридического лица, </w:t>
      </w:r>
    </w:p>
    <w:p w:rsidR="002E1C18" w:rsidRPr="002E1C18" w:rsidRDefault="002E1C18" w:rsidP="002E1C1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</w:rPr>
      </w:pPr>
      <w:r w:rsidRPr="002E1C18">
        <w:rPr>
          <w:rFonts w:ascii="Times New Roman" w:eastAsia="Calibri" w:hAnsi="Times New Roman" w:cs="Times New Roman"/>
        </w:rPr>
        <w:t xml:space="preserve">                     Ф.И.О. (последнее – при наличии) индивидуального предпринимателя)</w:t>
      </w:r>
    </w:p>
    <w:p w:rsidR="002E1C18" w:rsidRPr="002E1C18" w:rsidRDefault="002E1C18" w:rsidP="002E1C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в лице ______________________________________________________________</w:t>
      </w:r>
    </w:p>
    <w:p w:rsidR="002E1C18" w:rsidRPr="002E1C18" w:rsidRDefault="002E1C18" w:rsidP="002E1C1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E1C18">
        <w:rPr>
          <w:rFonts w:ascii="Times New Roman" w:eastAsia="Calibri" w:hAnsi="Times New Roman" w:cs="Times New Roman"/>
        </w:rPr>
        <w:t xml:space="preserve">          (фамилия, имя, отчество (при наличии), должность руководителя или доверенного лица, </w:t>
      </w:r>
    </w:p>
    <w:p w:rsidR="002E1C18" w:rsidRPr="002E1C18" w:rsidRDefault="002E1C18" w:rsidP="002E1C1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E1C18">
        <w:rPr>
          <w:rFonts w:ascii="Times New Roman" w:eastAsia="Calibri" w:hAnsi="Times New Roman" w:cs="Times New Roman"/>
        </w:rPr>
        <w:t>№ доверенности, дата выдачи)</w:t>
      </w:r>
    </w:p>
    <w:p w:rsidR="002E1C18" w:rsidRPr="002E1C18" w:rsidRDefault="002E1C18" w:rsidP="002E1C1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E1C18" w:rsidRPr="002E1C18" w:rsidRDefault="002E1C18" w:rsidP="002E1C1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настоящим подтв</w:t>
      </w:r>
      <w:bookmarkStart w:id="0" w:name="_GoBack"/>
      <w:bookmarkEnd w:id="0"/>
      <w:r w:rsidRPr="002E1C18">
        <w:rPr>
          <w:rFonts w:ascii="Times New Roman" w:eastAsia="Calibri" w:hAnsi="Times New Roman" w:cs="Times New Roman"/>
          <w:sz w:val="28"/>
          <w:szCs w:val="28"/>
        </w:rPr>
        <w:t>ерждает, что на дату подачи заявки не осуществляет производство и (или) реализацию подакцизных товаров, указанных ниже, перечень которых установлен статьей 181 Налогового кодекса Российской Федерации, и обязуется не осуществлять производство и (или) реализацию подакцизных товаров а также добычу и (или) реализацию полезных ископаемых, за исключением общедоступных полезных ископаемых и минеральных питьевых вод, до окончания квартала, в котором истекает срок оказания поддержки (установленная соглашением о предоставлении субсидии дата расходования средств субсидии).</w:t>
      </w:r>
    </w:p>
    <w:p w:rsidR="002E1C18" w:rsidRPr="00D83868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181 Налогового кодекса Российской Федерации подакцизными товарами признаются: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этиловый спирт, произведенный из пищевого или непищевого сырья, в том числе денатурированный этиловый спирт, спирт-сырец, винный спирт, виноградный спирт, дистилляты, предусмотренные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и (или) законодательств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 виноградарстве и виноделии;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спиртосодержащая продукция (растворы, эмульсии, суспензии и другие виды продукции в жидком виде) с объемной долей этилового спирта более 9 процентов, за исключением алкогольной продукции, указанной </w:t>
      </w:r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7" w:anchor="block_18113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подпункте 3</w:t>
        </w:r>
      </w:hyperlink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пункта, плодового сусла, плодовых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сброженных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рассматриваются как подакцизные товары следующие товары: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средства, прошедшие государственную регистрацию в уполномоченном федеральном органе исполнительной власти и внесенные и (или) включенные в Государственный реестр лекарственных средств, лекарственные препараты для медицинского применения в целях формирования общего рынка лекарственных средств в рамках Евразийского экономического союза, сведения о которых содержатся в едином реестре зарегистрированных лекарственных средств Евразийского экономического союза;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лекарственные средства (включая гомеопатические лекарственные препараты), изготавливаемые аптечными организациями по рецептам на лекарственные препараты и требованиям медицинских организаций, разлитые в емкости в соответствии с требованиями нормативной документации,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согласованной уполномоченным федеральным органом исполнительной власти;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спиртосодержащая парфюмерно-косметическая продукция в металлической аэрозольной упаковке;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спиртосодержащая продукция бытовой химии в металлической аэрозольной упаковке;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спиртосодержащая парфюмерно-косметическая продукция в малой емкости;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ветеринарного назначения,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препаратов, разработанных для применения в животноводстве на территории Российской Федерации, разлитые в емкости не более 100 мл;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 дальнейшей переработке и (или) использованию для технических целей отходы, образующиеся при производстве спирта этилового из пищевого сырья, водок, ликероводочных изделий, соответствующие нормативной документации, утвержденной (согласованной) федеральным органом исполнительной власти;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пивное сусло;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спиртосодержащие полиграфические краски;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алкогольная продукция с объемной долей этилового спирта более 0,5 процента, за исключением пищевой продукции в соответствии с </w:t>
      </w:r>
      <w:r w:rsidRPr="00044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 Правительством Российской Федерации;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3.1) пиво с нормативным (стандартизированным) содержанием объемной доли этилового спирта до 0,5 процента включительно;</w:t>
      </w:r>
    </w:p>
    <w:p w:rsidR="002E1C18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3.2) виноградное сусло, плодовое сусло, плодовые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сброженные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вино наливом (виноматериал);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F56F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утратил силу;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табачная продукция;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автомобили легковые;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.1) мотоциклы с мощностью двигателя свыше 112,5 кВт (150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автомобильный бензин;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дизельное топливо;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моторные масла для дизельных и (или) карбюраторных (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прямогонный бензин.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рямогонным бензином признаются бензиновые фракции, за исключением автомобильного бензина, авиационного керосина, акрилатов, полученные в результате: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перегонки (фракционирования) нефти, газового конденсата, попутного нефтяного газа, природного газа;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 (химических превращений) горючих сланцев, угля, фракций нефти, фракций газового конденсата, попутного нефтяного газа, природного газа.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ензиновой фракцией признается смесь углеводородов в жидком состоянии (при температуре 15 или 20 градусов Цельсия и давлении 760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миллиметров ртутного столба), соответствующая одновременно следующим физико-химическим характеристикам: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не менее 650 кг/м3 и не более 749 кг/м3 при температуре 15 или 20 градусов Цельсия;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температуры, при которой перегоняется по объему не менее 90 процентов смеси (давление 760 миллиметров ртутного столба), не превышает 215 градусов Цельсия.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признаются бензиновой фракцией следующие виды фракций: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фракция, полученная в результате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алкилирования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олигомеризации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углеводородных газов;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фракция, массовая доля метил-трет-бутилового эфира и (или) иных эфиров и (или) спиртов в которой не менее 85 процентов;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фракция, полученная в результате окисления и этерификации олефинов, ароматических углеводородов, спиртов, альдегидов, кетонов, карбоновых кислот;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фракция, полученная в результате гидрирования, гидратации и дегидрирования спиртов, альдегидов, кетонов, карбоновых кислот;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фракция, массовая доля бензола и (или) толуола и (или) ксилола (в том числе параксилола и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ортоксилола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которой не менее 85 процентов;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фракция, массовая доля пентана и (или)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изопентана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не менее 85 процентов;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фракция, массовая доля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альфаметилстирола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не менее 95 процентов;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фракция, массовая доля изопрена в которой не менее 85 процентов;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средние дистилляты.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редними дистиллятами признаются смеси углеводородов в жидком состоянии (при температуре 20 градусов Цельсия и атмосферном давлении 760 миллиметров ртутного столба), полученные в результате первичной и (или) вторичной переработки нефти, газового конденсата, попутного нефтяного газа, горючих сланцев, значение показателя плотности которых не превышает 930 кг/м</w:t>
      </w:r>
      <w:r w:rsidRPr="004E1A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3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температуре 20 градусов Цельсия, за исключением: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прямогонного бензина;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циклогексана;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автомобильного бензина;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фракций, указанных в </w:t>
      </w:r>
      <w:r w:rsidRPr="0004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восьмом - пятнадцатом подпункта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авиационного керосина, авиационного керосина марки Джет-А1;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дизельного топлива;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высоковязких продуктов, в том числе моторных масел для дизельных и (или) карбюраторных (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продуктов нефтехимии, получаемых в процессах химических превращений, протекающих при температуре выше 700 градусов Цельсия (согласно технологической документации на технологическое оборудование, посредством которого осуществляются химические превращения),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дегидрирования,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алкилирования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окисления, гидратации, этерификации;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газового конденсата, смеси газового конденсата с нефтью, непосредственно полученных с применением технологических процессов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деэтанизации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стабилизации и (или) фракционирования (при условии комбинации процесса фракционирования с процессом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деэтанизации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стабилизации);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нефти;</w:t>
      </w:r>
    </w:p>
    <w:p w:rsidR="002E1C18" w:rsidRPr="00A6674B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продуктов, представляющих собой смесь углеводородов в жидком состоянии (при температуре 20 градусов Цельсия и атмосферном давлении 760 миллиметров ртутного столба), содержащих более 30 процентов ароматических, непредельных и (или) кислородсодержащих соединений, за исключением:</w:t>
      </w:r>
    </w:p>
    <w:p w:rsidR="002E1C18" w:rsidRPr="00A6674B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продуктов, произведенных российскими организациями, имеющими свидетельство о регистрации лица, совершающего операции по переработке средних дистиллятов, предусмотренное </w:t>
      </w:r>
      <w:hyperlink r:id="rId8" w:anchor="block_17906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179.6</w:t>
        </w:r>
      </w:hyperlink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кодекса, и (или) свидетельство о регистрации лица, совершающего операции по переработке нефтяного сырья, предусмотренное </w:t>
      </w:r>
      <w:hyperlink r:id="rId9" w:anchor="block_1797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179.7</w:t>
        </w:r>
      </w:hyperlink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кодекса;</w:t>
      </w:r>
    </w:p>
    <w:p w:rsidR="002E1C18" w:rsidRPr="00F56FEC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продуктов, произведенных российскими организациями, не имеющими свидетельства о регистрации лица, совершающего операции по переработке средних дистиллятов, предусмотренного </w:t>
      </w:r>
      <w:hyperlink r:id="rId10" w:anchor="block_17906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179.6</w:t>
        </w:r>
      </w:hyperlink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кодекса, и (или) свидетельства о регистрации лица, совершающего операции по переработке нефтяного сырья, предусмотренного </w:t>
      </w:r>
      <w:hyperlink r:id="rId11" w:anchor="block_1797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179.7</w:t>
        </w:r>
      </w:hyperlink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Налогового кодекса, и имеющими производственные мощности на праве собственности и </w:t>
      </w:r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ином законном основании, необходимые для осуществления технологического процесса по первичной или первичной и вторичной переработке нефти и (или) газового конденсата стабильного;</w:t>
      </w:r>
    </w:p>
    <w:p w:rsidR="002E1C18" w:rsidRPr="00A6674B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продуктов, реализованных российскими организациями, указанными в </w:t>
      </w:r>
      <w:hyperlink r:id="rId12" w:anchor="block_1821030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подпунктах 30</w:t>
        </w:r>
      </w:hyperlink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anchor="block_1821031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31 пункта 1 статьи 182</w:t>
        </w:r>
      </w:hyperlink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кодекса;</w:t>
      </w:r>
    </w:p>
    <w:p w:rsidR="002E1C18" w:rsidRPr="00F56FEC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продуктов, полученных российскими организациями, имеющими свидетельство о регистрации организации, совершающей операции со средними дистиллятами, предусмотренное </w:t>
      </w:r>
      <w:hyperlink r:id="rId14" w:anchor="block_17905" w:history="1">
        <w:r w:rsidRPr="00A6674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179.5</w:t>
        </w:r>
      </w:hyperlink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кодекса.</w:t>
      </w:r>
    </w:p>
    <w:p w:rsidR="002E1C18" w:rsidRPr="00F56FEC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Высоковязкими продуктами признаются:</w:t>
      </w:r>
    </w:p>
    <w:p w:rsidR="002E1C18" w:rsidRPr="00F56FEC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смеси углеводородов, значение показателя кинематической вязкости которых при температуре 100 градусов Цельсия составляет более 2,2 </w:t>
      </w:r>
      <w:proofErr w:type="spellStart"/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сантистокса</w:t>
      </w:r>
      <w:proofErr w:type="spellEnd"/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смеси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углеводородов, полученные в результате применения хотя бы одного из следующих технологических процессов: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каталитическая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депарафинизация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гидроизодепарафинизация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депарафинизация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селективными растворителями;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деасфальтизация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пропаном;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селективная очистка;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обезмасливание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парафинов.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меси высоковязких продуктов с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неподакцизными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товарами признаются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высоковязкими продуктами.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высоковязкие продукты, полученные в результате перечисленных процессов, их смеси с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неподакцизными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товарами должны соответствовать одной или нескольким из следующих физико-химических характеристик: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кинематическая вязкость при температуре 100 градусов Цельсия составляет 2,2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сантистокса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вспышки в открытом тигле составляет более 80 </w:t>
      </w:r>
      <w:proofErr w:type="gram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 Цельсия</w:t>
      </w:r>
      <w:proofErr w:type="gram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температура застывания не превышает минус 35 градусов Цельсия.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родукт относится к средним дистиллятам, если показатель его кинематической вязкости при температуре 100 градусов Цельсия не определен и такой продукт не относится к исключениям, указанным в настоящем подпункте.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 относится к средним дистиллятам смесь углеводородов, полученная организацией, имеющей свидетельство о регистрации лица, совершающего операции по переработке нефтяного сырья, в результате подготовки и (или) переработки принадлежащего этой организации нефтяного сырья, в дальнейшем реализуемая (передаваемая) этой организацией в смеси с нефтяным сырьем, являющимся добытым полезным ископаемым для такой организации, и (или) с нефтяным сырьем, приобретенным этой организацией у иных организаций, для которых такое нефтяное сырье является добытым полезным ископаемым, при условии транспортировки такой смеси углеводородов в смеси с нефтяным сырьем магистральным трубопроводом;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бензол, параксилол,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ортоксилол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ензолом признается жидкость с содержанием (по массе) соответствующего простейшего ароматического углеводорода не менее 99 процентов.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араксилолом или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ортоксилолом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жидкость с содержанием (по массе) соответствующего изомера ксилола (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лбензола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менее 95 процентов.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авиационный керосин.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виационным керосином признаются жидкие топлива, используемые в авиационных двигателях, соответствующие требованиям законодательства Российской Федерации о техническом регулировании и (или) международных договоров Российской Федерации, а также смеси таких топлив;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.1) нефтяное сырье.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ефтяным сырьем признается смесь углеводородов, состоящая из одного компонента или нескольких следующих компонентов: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нефть;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газовый конденсат стабильный;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вакуумный газойль (при температуре 20 градусов Цельсия и давлении 760 миллиметров ртутного столба плотностью более 845 кг/м</w:t>
      </w:r>
      <w:r w:rsidRPr="004E1A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3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с кинематической вязкостью при температуре 80 градусов Цельсия более 3 </w:t>
      </w:r>
      <w:proofErr w:type="spellStart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сантистоксов</w:t>
      </w:r>
      <w:proofErr w:type="spellEnd"/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гудрон (при температуре 20 градусов Цельсия и давлении 760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миллиметров ртутного столба плотностью более 930 кг/м</w:t>
      </w:r>
      <w:r w:rsidRPr="004E1A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3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мазут;</w:t>
      </w:r>
    </w:p>
    <w:p w:rsidR="002E1C18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природный газ (в случаях, предусмотренных международными договорами Российской Федерации);</w:t>
      </w:r>
    </w:p>
    <w:p w:rsidR="002E1C18" w:rsidRPr="00F56FEC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F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15) утратил силу;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жидкости для электронных систем доставки никотина.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лектронными системами доставки никотина признаются электронные устройства, используемые для преобразования жидкости для электронных систем доставки никотина в аэрозоль (пар), вдыхаемый потребителем.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идкостью для электронных систем доставки никотина признается любая жидкость с содержанием жидкого никотина в объеме от 0,1 мг/мл для электронных систем доставки никотина, в том числе содержащаяся в таких электронных устройствах;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табак (табачные изделия), предназначенный для потребления путем нагревания;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виноград.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одакцизным признается виноград, использованный для производства вина, игристого вина, включая российское шампанское, крепленого (ликерного) вина с защищенным географическим указанием, с защищенным наименованием места происхождения, вина наливом, крепленого вина наливом (виноматериала) (вино наливом, крепленое вино наливом (виноматериал) далее в настоящей главе - виноматериалы), виноградного сусла или для производства спиртных напитков, являющихся винодельческой продукцией с объемной долей этилового спирта не менее 40 процентов, изготовленной из коньячного дистиллята полного цикла производства, выдержанного в контакте с древесиной дуба не менее трех лет (далее в настоящей главе - спиртные напитки, произведенные по технологии полного цикла);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этан.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признается газ (при температуре 20 градусов Цельсия и давлении 760 миллиметров ртутного столба) с содержанием по массе органического вещества этана 90 процентов и более. Не признается этаном газ (при температуре 20 градусов Цельсия и давлении 760 миллиметров ртутного столба) с содержанием по массе органического вещества этана 90 процентов и более, полученный в результате химических превращений, протекающих при температуре выше 700 градусов Цельсия (согласно технической документации на технологическое оборудование, посредством которого осуществляются химические превращения);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СУГ.  СУГ признается газ (при температуре 20 градусов Цельсия и давлении 760 миллиметров ртутного столба) с содержанием по массе смеси этана и (или) пропана и (или) бутанов (н-бутана и его изомеров) 90 процентов и более. При этом содержание этана по массе должно быть менее 90 процентов. Не признается СУГ газ (при температуре 20 градусов Цельсия и давлении 760 миллиметров ртутного столба) с содержанием по массе смеси этана и (или) пропана и (или) бутанов (н-бутана и его изомеров) 90 процентов и более, полученный в результате химических превращений, протекающих при температуре выше 700 градусов Цельсия (согласно технической документации 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технологическое оборудование, посредством которого осуществляются химические превращения);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сталь жидкая, за исключением стали жидкой, предусмотренной </w:t>
      </w:r>
      <w:r w:rsidRPr="00044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пункта;</w:t>
      </w:r>
    </w:p>
    <w:p w:rsidR="002E1C18" w:rsidRPr="004E1AE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E1A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сталь жидкая, выплавляемая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E1C18" w:rsidRPr="00025017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сахаросодержащие напитки. </w:t>
      </w:r>
    </w:p>
    <w:p w:rsidR="002E1C18" w:rsidRPr="00025017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Сахаросодержащими напитками признаются упакованные в потребительскую упаковку, изготовленные с использованием питьевой или минеральной воды напитки (кроме изготовленных и упакованных организациями и индивидуальными предпринимателями, оказывающими услуги в сфере общественного питания), в состав которых в качестве компонентов входят сахар (глюкоза, фруктоза, сахароза, декстроза, мальтоза, лактоза), и (или) сироп с сахаром, и (или) мед и количество углеводов в пищевой ценности которых составляет более 5 граммов на 100 мл напитка. При этом объемная доля этилового спирта в указанных напитках не должна превышать 1,2 процента включительно.</w:t>
      </w:r>
    </w:p>
    <w:p w:rsidR="002E1C18" w:rsidRPr="00D154D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признаются сахаросодержащими напитками:</w:t>
      </w:r>
    </w:p>
    <w:p w:rsidR="002E1C18" w:rsidRPr="00D154D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специализированная пищевая продукция, прошедшая государственную регистрацию специализированной пищевой продукции в соответствии с правом Евразийского экономического союза, обогащенная пищевая продукция, за исключением тонизирующих напитков и напитков, в состав которых в качестве компонента входит двуокись углерода;</w:t>
      </w:r>
    </w:p>
    <w:p w:rsidR="002E1C18" w:rsidRPr="00D154D6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алкогольная продукция, указанная в подпункте 3 пункта 1 настоящей статьи, виноградное, пивное, плодовое, медовое и иное сусло, плодовые </w:t>
      </w:r>
      <w:proofErr w:type="spellStart"/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сброженные</w:t>
      </w:r>
      <w:proofErr w:type="spellEnd"/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квасы с содержанием этилового спирта до 1,2 процента включительно;</w:t>
      </w:r>
    </w:p>
    <w:p w:rsidR="002E1C18" w:rsidRDefault="002E1C18" w:rsidP="002E1C1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соки, сокосодержащие напитки, нектары, морсы, сиропы, молоко, молочная продукция, кисели и (или) напитки на растительной основе, произведенные из зерна злаковых, зернобобовых, масличных культур, орехов, кокоса и (или) продуктов их переработки, за исключением тонизирующих напитков и напитков, в состав которых в качестве компонента входит двуокись углерода</w:t>
      </w:r>
      <w:r w:rsidR="000250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Участник отбора предупрежден, что представление недостоверных сведений:</w:t>
      </w: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1) является основанием для отклонения заявки на стадии ее рассмотрения, отказа в предоставлении субсидии;</w:t>
      </w: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2) в случае предоставления субсидии влечет:</w:t>
      </w: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>- возврат суммы предоставленной субсидии в бюджет города Сургута                         в полном объеме;</w:t>
      </w: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внесение информации о совершенном нарушении порядка и условий </w:t>
      </w:r>
      <w:r w:rsidRPr="002E1C18">
        <w:rPr>
          <w:rFonts w:ascii="Times New Roman" w:eastAsia="Calibri" w:hAnsi="Times New Roman" w:cs="Times New Roman"/>
          <w:spacing w:val="-6"/>
          <w:sz w:val="28"/>
          <w:szCs w:val="28"/>
        </w:rPr>
        <w:t>оказания поддержки в реестр субъектов малого и среднего предпринимательства –</w:t>
      </w:r>
      <w:r w:rsidRPr="002E1C18">
        <w:rPr>
          <w:rFonts w:ascii="Times New Roman" w:eastAsia="Calibri" w:hAnsi="Times New Roman" w:cs="Times New Roman"/>
          <w:sz w:val="28"/>
          <w:szCs w:val="28"/>
        </w:rPr>
        <w:t xml:space="preserve"> получателей поддержки, что является основанием для отказа в предоставлении поддержки в течение трех лет с даты признания получателя поддержки совершившим такое нарушение. </w:t>
      </w: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2E1C18" w:rsidRPr="002E1C18" w:rsidRDefault="002E1C18" w:rsidP="002E1C18">
      <w:pPr>
        <w:tabs>
          <w:tab w:val="left" w:pos="426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2E1C18" w:rsidRPr="002E1C18" w:rsidTr="00240291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C18" w:rsidRPr="002E1C18" w:rsidRDefault="002E1C18" w:rsidP="002E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18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:rsidR="002E1C18" w:rsidRPr="002E1C18" w:rsidRDefault="002E1C18" w:rsidP="002E1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2E1C18">
              <w:rPr>
                <w:rFonts w:ascii="Times New Roman" w:eastAsia="Calibri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C18" w:rsidRPr="002E1C18" w:rsidRDefault="002E1C18" w:rsidP="002E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2E1C18" w:rsidRPr="002E1C18" w:rsidRDefault="002E1C18" w:rsidP="002E1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2E1C18">
              <w:rPr>
                <w:rFonts w:ascii="Times New Roman" w:eastAsia="Calibri" w:hAnsi="Times New Roman" w:cs="Times New Roman"/>
                <w:szCs w:val="28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C18" w:rsidRPr="002E1C18" w:rsidRDefault="002E1C18" w:rsidP="002E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:rsidR="002E1C18" w:rsidRPr="002E1C18" w:rsidRDefault="002E1C18" w:rsidP="002E1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18">
              <w:rPr>
                <w:rFonts w:ascii="Times New Roman" w:eastAsia="Calibri" w:hAnsi="Times New Roman" w:cs="Times New Roman"/>
                <w:szCs w:val="28"/>
              </w:rPr>
              <w:t>расшифровка подписи</w:t>
            </w:r>
          </w:p>
        </w:tc>
      </w:tr>
    </w:tbl>
    <w:p w:rsidR="002E1C18" w:rsidRPr="002E1C18" w:rsidRDefault="002E1C18" w:rsidP="002E1C18">
      <w:pPr>
        <w:rPr>
          <w:rFonts w:ascii="Times New Roman" w:eastAsia="Calibri" w:hAnsi="Times New Roman" w:cs="Times New Roman"/>
          <w:sz w:val="28"/>
          <w:szCs w:val="28"/>
        </w:rPr>
      </w:pPr>
    </w:p>
    <w:p w:rsidR="002E1C18" w:rsidRPr="002E1C18" w:rsidRDefault="002E1C18" w:rsidP="002E1C18">
      <w:pPr>
        <w:rPr>
          <w:rFonts w:ascii="Times New Roman" w:eastAsia="Calibri" w:hAnsi="Times New Roman" w:cs="Times New Roman"/>
          <w:sz w:val="28"/>
          <w:szCs w:val="28"/>
        </w:rPr>
      </w:pPr>
      <w:r w:rsidRPr="002E1C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М.П. (при наличии)</w:t>
      </w:r>
    </w:p>
    <w:p w:rsidR="002E1C18" w:rsidRPr="002E1C18" w:rsidRDefault="002E1C18" w:rsidP="002E1C18">
      <w:pPr>
        <w:rPr>
          <w:rFonts w:ascii="Times New Roman" w:eastAsia="Calibri" w:hAnsi="Times New Roman" w:cs="Times New Roman"/>
          <w:sz w:val="28"/>
          <w:szCs w:val="28"/>
        </w:rPr>
      </w:pPr>
    </w:p>
    <w:p w:rsidR="002E1C18" w:rsidRPr="002E1C18" w:rsidRDefault="002E1C18" w:rsidP="002E1C18">
      <w:pPr>
        <w:spacing w:after="0" w:line="240" w:lineRule="auto"/>
        <w:rPr>
          <w:rFonts w:ascii="Times New Roman" w:hAnsi="Times New Roman"/>
          <w:sz w:val="28"/>
        </w:rPr>
      </w:pPr>
    </w:p>
    <w:p w:rsidR="00447E7D" w:rsidRDefault="00763ED4"/>
    <w:sectPr w:rsidR="00447E7D" w:rsidSect="00763ED4">
      <w:headerReference w:type="first" r:id="rId15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16" w:rsidRDefault="00112E16" w:rsidP="00112E16">
      <w:pPr>
        <w:spacing w:after="0" w:line="240" w:lineRule="auto"/>
      </w:pPr>
      <w:r>
        <w:separator/>
      </w:r>
    </w:p>
  </w:endnote>
  <w:endnote w:type="continuationSeparator" w:id="0">
    <w:p w:rsidR="00112E16" w:rsidRDefault="00112E16" w:rsidP="001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16" w:rsidRDefault="00112E16" w:rsidP="00112E16">
      <w:pPr>
        <w:spacing w:after="0" w:line="240" w:lineRule="auto"/>
      </w:pPr>
      <w:r>
        <w:separator/>
      </w:r>
    </w:p>
  </w:footnote>
  <w:footnote w:type="continuationSeparator" w:id="0">
    <w:p w:rsidR="00112E16" w:rsidRDefault="00112E16" w:rsidP="001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854" w:rsidRPr="00FB6854" w:rsidRDefault="00763ED4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C9"/>
    <w:rsid w:val="00025017"/>
    <w:rsid w:val="000B5415"/>
    <w:rsid w:val="00112E16"/>
    <w:rsid w:val="002E1C18"/>
    <w:rsid w:val="002E3313"/>
    <w:rsid w:val="003262C9"/>
    <w:rsid w:val="003F7EEA"/>
    <w:rsid w:val="00763ED4"/>
    <w:rsid w:val="008A1A1B"/>
    <w:rsid w:val="00A6674B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7E4A"/>
  <w15:chartTrackingRefBased/>
  <w15:docId w15:val="{E803B208-7E29-4473-9E35-902DDC0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C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E1C1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E1C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E1C18"/>
    <w:rPr>
      <w:rFonts w:ascii="Times New Roman" w:hAnsi="Times New Roman"/>
      <w:sz w:val="28"/>
    </w:rPr>
  </w:style>
  <w:style w:type="character" w:styleId="a7">
    <w:name w:val="page number"/>
    <w:basedOn w:val="a0"/>
    <w:rsid w:val="002E1C18"/>
  </w:style>
  <w:style w:type="character" w:styleId="a8">
    <w:name w:val="Hyperlink"/>
    <w:basedOn w:val="a0"/>
    <w:uiPriority w:val="99"/>
    <w:unhideWhenUsed/>
    <w:rsid w:val="002E1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64e8dfa7cf4b4cb0365b4f186d8b4896/" TargetMode="External"/><Relationship Id="rId13" Type="http://schemas.openxmlformats.org/officeDocument/2006/relationships/hyperlink" Target="https://nalog.garant.ru/fns/nk/92aac53b8daca11cbb548fe097eb3ed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b89f3082384f3d024adf2f3a41be9756/" TargetMode="External"/><Relationship Id="rId12" Type="http://schemas.openxmlformats.org/officeDocument/2006/relationships/hyperlink" Target="https://nalog.garant.ru/fns/nk/92aac53b8daca11cbb548fe097eb3ed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alog.garant.ru/fns/nk/8b55ac94be372364ba410b0e19c2d54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alog.garant.ru/fns/nk/64e8dfa7cf4b4cb0365b4f186d8b48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.garant.ru/fns/nk/8b55ac94be372364ba410b0e19c2d54e/" TargetMode="External"/><Relationship Id="rId14" Type="http://schemas.openxmlformats.org/officeDocument/2006/relationships/hyperlink" Target="https://nalog.garant.ru/fns/nk/1dd5f518e11553b63844597c9357d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B729-0889-4B56-B8A0-C7CF4684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8</cp:revision>
  <cp:lastPrinted>2023-10-22T18:06:00Z</cp:lastPrinted>
  <dcterms:created xsi:type="dcterms:W3CDTF">2023-10-22T13:46:00Z</dcterms:created>
  <dcterms:modified xsi:type="dcterms:W3CDTF">2023-10-22T18:17:00Z</dcterms:modified>
</cp:coreProperties>
</file>