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D021A">
      <w:pPr>
        <w:pStyle w:val="2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 xml:space="preserve">Решение Комиссии Таможенного союза от 28 января 2011 г. N 526 </w:t>
      </w:r>
      <w:r>
        <w:rPr>
          <w:rFonts w:eastAsia="Times New Roman"/>
        </w:rPr>
        <w:br/>
        <w:t xml:space="preserve">"О Едином перечне продукции, в отношении которой устанавливаются </w:t>
      </w:r>
      <w:r>
        <w:rPr>
          <w:rFonts w:eastAsia="Times New Roman"/>
        </w:rPr>
        <w:br/>
        <w:t>обязательные требования в рамках Таможенного союза"</w:t>
      </w:r>
    </w:p>
    <w:p w:rsidR="00000000" w:rsidRDefault="00ED021A">
      <w:pPr>
        <w:pStyle w:val="a5"/>
      </w:pPr>
      <w:r>
        <w:t> </w:t>
      </w:r>
    </w:p>
    <w:p w:rsidR="00000000" w:rsidRDefault="00ED021A">
      <w:pPr>
        <w:jc w:val="center"/>
        <w:rPr>
          <w:rFonts w:eastAsia="Times New Roman"/>
        </w:rPr>
      </w:pPr>
      <w:r>
        <w:rPr>
          <w:rFonts w:eastAsia="Times New Roman"/>
        </w:rPr>
        <w:t>(в ред. решений Совета Евразийской эконом</w:t>
      </w:r>
      <w:r>
        <w:rPr>
          <w:rFonts w:eastAsia="Times New Roman"/>
        </w:rPr>
        <w:t xml:space="preserve">ической комиссии </w:t>
      </w:r>
      <w:r>
        <w:rPr>
          <w:rFonts w:eastAsia="Times New Roman"/>
        </w:rPr>
        <w:br/>
        <w:t xml:space="preserve">от </w:t>
      </w:r>
      <w:hyperlink r:id="rId4" w:tooltip="Решение 102 от 23.11.2012 Совета ЕЭК&#10;&#10;Изменения в решение 526 КТС в Единый перечень продукции, в отношении которой устанавливаются обязательные требования" w:history="1">
        <w:r>
          <w:rPr>
            <w:rStyle w:val="a3"/>
            <w:rFonts w:eastAsia="Times New Roman"/>
          </w:rPr>
          <w:t>23.11.2012 N 102</w:t>
        </w:r>
      </w:hyperlink>
      <w:r>
        <w:rPr>
          <w:rFonts w:eastAsia="Times New Roman"/>
        </w:rPr>
        <w:t xml:space="preserve">, от </w:t>
      </w:r>
      <w:hyperlink r:id="rId5" w:tooltip="Решение 18 от 21.02.2020 Совета ЕЭК&#10;&#10;Дополнение в Единый перечень продукции, в отношении которой устанавливаются обязательные требования в рамках ТС, в отношении никотинсодержащей продукции" w:history="1">
        <w:r>
          <w:rPr>
            <w:rStyle w:val="a3"/>
            <w:rFonts w:eastAsia="Times New Roman"/>
          </w:rPr>
          <w:t>21.02.2020 N 18</w:t>
        </w:r>
      </w:hyperlink>
      <w:r>
        <w:rPr>
          <w:rFonts w:eastAsia="Times New Roman"/>
        </w:rPr>
        <w:t xml:space="preserve">, от </w:t>
      </w:r>
      <w:hyperlink r:id="rId6" w:tooltip="Решение 163 от 14.12.2022 Совета ЕЭК&#10;&#10;Изменения в Единый перечень продукции, в отношении которой устанавливаются обязательные требования в рамках ТС" w:history="1">
        <w:r>
          <w:rPr>
            <w:rStyle w:val="a3"/>
            <w:rFonts w:eastAsia="Times New Roman"/>
          </w:rPr>
          <w:t>14.12.2022 N 163</w:t>
        </w:r>
      </w:hyperlink>
      <w:r>
        <w:rPr>
          <w:rFonts w:eastAsia="Times New Roman"/>
        </w:rPr>
        <w:t>,</w:t>
      </w:r>
      <w:r>
        <w:rPr>
          <w:rFonts w:eastAsia="Times New Roman"/>
        </w:rPr>
        <w:br/>
        <w:t xml:space="preserve">от </w:t>
      </w:r>
      <w:hyperlink r:id="rId7" w:tooltip="Решение 31 от 12.04.2024 Совета ЕЭК&#10;&#10;Изменения в Единый перечень продукции, в отношении которой устанавливаются обязательные требования в рамках ТС" w:history="1">
        <w:r>
          <w:rPr>
            <w:rStyle w:val="a3"/>
            <w:rFonts w:eastAsia="Times New Roman"/>
          </w:rPr>
          <w:t>12.04.2024 N 31</w:t>
        </w:r>
      </w:hyperlink>
      <w:r>
        <w:rPr>
          <w:rFonts w:eastAsia="Times New Roman"/>
        </w:rPr>
        <w:t xml:space="preserve">) </w:t>
      </w:r>
    </w:p>
    <w:p w:rsidR="00000000" w:rsidRDefault="00ED021A">
      <w:pPr>
        <w:pStyle w:val="a5"/>
      </w:pPr>
      <w:r>
        <w:t> </w:t>
      </w:r>
    </w:p>
    <w:p w:rsidR="00000000" w:rsidRDefault="00ED021A">
      <w:pPr>
        <w:pStyle w:val="a5"/>
      </w:pPr>
      <w:r>
        <w:t>В целях реализации статьи 3 Соглашения о единых принципах и правилах технического регулирования в Республике Белару</w:t>
      </w:r>
      <w:r>
        <w:t xml:space="preserve">сь, Республике Казахстан и Российской Федерации от 18 ноября 2010 года Комиссия Таможенного союза РЕШИЛА: </w:t>
      </w:r>
    </w:p>
    <w:p w:rsidR="00000000" w:rsidRDefault="00ED021A">
      <w:pPr>
        <w:pStyle w:val="a5"/>
      </w:pPr>
      <w:r>
        <w:t xml:space="preserve">1. Утвердить Единый перечень продукции, в отношении которой устанавливаются обязательные требования в рамках Таможенного союза (прилагается). </w:t>
      </w:r>
    </w:p>
    <w:p w:rsidR="00000000" w:rsidRDefault="00ED021A">
      <w:pPr>
        <w:pStyle w:val="a5"/>
      </w:pPr>
      <w:r>
        <w:t>2. В с</w:t>
      </w:r>
      <w:r>
        <w:t xml:space="preserve">вязи с наличием в государствах – членах Таможенного союза различных процедур государственной регистрации медицинских изделий (медицинской техники и изделий медицинского назначения) поручить Сторонам: </w:t>
      </w:r>
    </w:p>
    <w:p w:rsidR="00000000" w:rsidRDefault="00ED021A">
      <w:pPr>
        <w:pStyle w:val="a5"/>
      </w:pPr>
      <w:r>
        <w:t xml:space="preserve">- проработать возможность унификации подходов Сторон в </w:t>
      </w:r>
      <w:r>
        <w:t xml:space="preserve">данной области; </w:t>
      </w:r>
    </w:p>
    <w:p w:rsidR="00000000" w:rsidRDefault="00ED021A">
      <w:pPr>
        <w:pStyle w:val="a5"/>
      </w:pPr>
      <w:r>
        <w:t xml:space="preserve">- при необходимости, разработать проект соответствующего международного договора; </w:t>
      </w:r>
    </w:p>
    <w:p w:rsidR="00000000" w:rsidRDefault="00ED021A">
      <w:pPr>
        <w:pStyle w:val="a5"/>
      </w:pPr>
      <w:r>
        <w:t xml:space="preserve">- по итогам этой работы принять решение о целесообразности разработки технического регламента Таможенного союза </w:t>
      </w:r>
    </w:p>
    <w:p w:rsidR="00000000" w:rsidRDefault="00ED021A">
      <w:pPr>
        <w:pStyle w:val="a5"/>
      </w:pPr>
      <w:r>
        <w:t>"О безопасности изделий медицинского назнач</w:t>
      </w:r>
      <w:r>
        <w:t xml:space="preserve">ения". </w:t>
      </w:r>
    </w:p>
    <w:p w:rsidR="00000000" w:rsidRDefault="00ED021A">
      <w:pPr>
        <w:pStyle w:val="a5"/>
      </w:pPr>
      <w:r>
        <w:t xml:space="preserve">До принятия решения по данному вопросу приостановить разработку соответствующего технического регламента Таможенного союза. </w:t>
      </w:r>
    </w:p>
    <w:p w:rsidR="00000000" w:rsidRDefault="00ED021A">
      <w:pPr>
        <w:pStyle w:val="a5"/>
      </w:pPr>
      <w:r>
        <w:t> </w:t>
      </w:r>
    </w:p>
    <w:p w:rsidR="00000000" w:rsidRDefault="00ED021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 xml:space="preserve">Члены Комиссии Таможенного союза: </w:t>
      </w:r>
      <w:r>
        <w:rPr>
          <w:rFonts w:eastAsia="Times New Roman"/>
        </w:rPr>
        <w:br/>
        <w:t> </w:t>
      </w:r>
    </w:p>
    <w:p w:rsidR="00000000" w:rsidRDefault="00ED021A">
      <w:pPr>
        <w:jc w:val="right"/>
        <w:rPr>
          <w:rFonts w:eastAsia="Times New Roman"/>
        </w:rPr>
      </w:pPr>
      <w:r>
        <w:rPr>
          <w:rFonts w:eastAsia="Times New Roman"/>
        </w:rPr>
        <w:t>От Республики</w:t>
      </w:r>
      <w:r>
        <w:rPr>
          <w:rFonts w:eastAsia="Times New Roman"/>
        </w:rPr>
        <w:br/>
        <w:t>Беларусь</w:t>
      </w:r>
      <w:r>
        <w:rPr>
          <w:rFonts w:eastAsia="Times New Roman"/>
        </w:rPr>
        <w:br/>
        <w:t>С.Румас</w:t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  <w:t>От Республики</w:t>
      </w:r>
      <w:r>
        <w:rPr>
          <w:rFonts w:eastAsia="Times New Roman"/>
        </w:rPr>
        <w:br/>
        <w:t>Казахстан</w:t>
      </w:r>
      <w:r>
        <w:rPr>
          <w:rFonts w:eastAsia="Times New Roman"/>
        </w:rPr>
        <w:br/>
        <w:t>У.Шукеев</w:t>
      </w:r>
      <w:r>
        <w:rPr>
          <w:rFonts w:eastAsia="Times New Roman"/>
        </w:rPr>
        <w:br/>
        <w:t> </w:t>
      </w:r>
      <w:r>
        <w:rPr>
          <w:rFonts w:eastAsia="Times New Roman"/>
        </w:rPr>
        <w:br/>
        <w:t>От Российской</w:t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t>Фе</w:t>
      </w:r>
      <w:r>
        <w:rPr>
          <w:rFonts w:eastAsia="Times New Roman"/>
        </w:rPr>
        <w:t>дерации</w:t>
      </w:r>
      <w:r>
        <w:rPr>
          <w:rFonts w:eastAsia="Times New Roman"/>
        </w:rPr>
        <w:br/>
        <w:t xml:space="preserve">И.Шувалов </w:t>
      </w:r>
    </w:p>
    <w:p w:rsidR="00000000" w:rsidRDefault="00ED021A">
      <w:pPr>
        <w:pStyle w:val="a5"/>
      </w:pPr>
      <w:r>
        <w:t> </w:t>
      </w:r>
    </w:p>
    <w:p w:rsidR="00000000" w:rsidRDefault="00ED021A">
      <w:pPr>
        <w:pStyle w:val="a5"/>
      </w:pPr>
      <w:r>
        <w:t> </w:t>
      </w:r>
    </w:p>
    <w:p w:rsidR="00000000" w:rsidRDefault="00ED021A">
      <w:pPr>
        <w:jc w:val="right"/>
        <w:rPr>
          <w:rFonts w:eastAsia="Times New Roman"/>
        </w:rPr>
      </w:pPr>
      <w:r>
        <w:rPr>
          <w:rFonts w:eastAsia="Times New Roman"/>
        </w:rPr>
        <w:t>УТВЕРЖДЕН</w:t>
      </w:r>
      <w:r>
        <w:rPr>
          <w:rFonts w:eastAsia="Times New Roman"/>
        </w:rPr>
        <w:br/>
        <w:t>Решением Комиссии</w:t>
      </w:r>
      <w:r>
        <w:rPr>
          <w:rFonts w:eastAsia="Times New Roman"/>
        </w:rPr>
        <w:br/>
        <w:t>Таможенного союза</w:t>
      </w:r>
      <w:r>
        <w:rPr>
          <w:rFonts w:eastAsia="Times New Roman"/>
        </w:rPr>
        <w:br/>
        <w:t xml:space="preserve">от 28 января 2011 г. N 526 </w:t>
      </w:r>
    </w:p>
    <w:p w:rsidR="00000000" w:rsidRDefault="00ED021A">
      <w:pPr>
        <w:pStyle w:val="a5"/>
      </w:pPr>
      <w:r>
        <w:t> </w:t>
      </w:r>
    </w:p>
    <w:p w:rsidR="00000000" w:rsidRDefault="00ED021A">
      <w:pPr>
        <w:jc w:val="center"/>
        <w:rPr>
          <w:rFonts w:eastAsia="Times New Roman"/>
        </w:rPr>
      </w:pPr>
      <w:r>
        <w:rPr>
          <w:rFonts w:eastAsia="Times New Roman"/>
          <w:b/>
          <w:bCs/>
        </w:rPr>
        <w:t xml:space="preserve">Единый перечень продукции, в отношении которой устанавливаются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обязательные требования в рамках Таможенного союза</w:t>
      </w:r>
      <w:r>
        <w:rPr>
          <w:rFonts w:eastAsia="Times New Roman"/>
        </w:rPr>
        <w:t xml:space="preserve"> </w:t>
      </w:r>
    </w:p>
    <w:p w:rsidR="00000000" w:rsidRDefault="00ED021A">
      <w:pPr>
        <w:pStyle w:val="a5"/>
      </w:pPr>
      <w:r>
        <w:t> </w:t>
      </w:r>
    </w:p>
    <w:p w:rsidR="00000000" w:rsidRDefault="00ED021A">
      <w:pPr>
        <w:jc w:val="center"/>
        <w:rPr>
          <w:rFonts w:eastAsia="Times New Roman"/>
        </w:rPr>
      </w:pPr>
      <w:r>
        <w:rPr>
          <w:rFonts w:eastAsia="Times New Roman"/>
        </w:rPr>
        <w:t xml:space="preserve">(в ред. решений Совета </w:t>
      </w:r>
      <w:r>
        <w:rPr>
          <w:rFonts w:eastAsia="Times New Roman"/>
        </w:rPr>
        <w:t xml:space="preserve">Евразийской экономической комиссии </w:t>
      </w:r>
      <w:r>
        <w:rPr>
          <w:rFonts w:eastAsia="Times New Roman"/>
        </w:rPr>
        <w:br/>
        <w:t xml:space="preserve">от </w:t>
      </w:r>
      <w:hyperlink r:id="rId8" w:tooltip="Решение 102 от 23.11.2012 Совета ЕЭК&#10;&#10;Изменения в решение 526 КТС в Единый перечень продукции, в отношении которой устанавливаются обязательные требования" w:history="1">
        <w:r>
          <w:rPr>
            <w:rStyle w:val="a3"/>
            <w:rFonts w:eastAsia="Times New Roman"/>
          </w:rPr>
          <w:t>23.11.2012 N 102</w:t>
        </w:r>
      </w:hyperlink>
      <w:r>
        <w:rPr>
          <w:rFonts w:eastAsia="Times New Roman"/>
        </w:rPr>
        <w:t xml:space="preserve">, от </w:t>
      </w:r>
      <w:hyperlink r:id="rId9" w:tooltip="Решение 18 от 21.02.2020 Совета ЕЭК&#10;&#10;Дополнение в Единый перечень продукции, в отношении которой устанавливаются обязательные требования в рамках ТС, в отношении никотинсодержащей продукции" w:history="1">
        <w:r>
          <w:rPr>
            <w:rStyle w:val="a3"/>
            <w:rFonts w:eastAsia="Times New Roman"/>
          </w:rPr>
          <w:t>21.02.2020 N 18</w:t>
        </w:r>
      </w:hyperlink>
      <w:r>
        <w:rPr>
          <w:rFonts w:eastAsia="Times New Roman"/>
        </w:rPr>
        <w:t xml:space="preserve">, от </w:t>
      </w:r>
      <w:hyperlink r:id="rId10" w:tooltip="Решение 163 от 14.12.2022 Совета ЕЭК&#10;&#10;Изменения в Единый перечень продукции, в отношении которой устанавливаются обязательные требования в рамках ТС" w:history="1">
        <w:r>
          <w:rPr>
            <w:rStyle w:val="a3"/>
            <w:rFonts w:eastAsia="Times New Roman"/>
          </w:rPr>
          <w:t>14.12.2022 N 163</w:t>
        </w:r>
      </w:hyperlink>
      <w:r>
        <w:rPr>
          <w:rFonts w:eastAsia="Times New Roman"/>
        </w:rPr>
        <w:t>,</w:t>
      </w:r>
      <w:r>
        <w:rPr>
          <w:rFonts w:eastAsia="Times New Roman"/>
        </w:rPr>
        <w:br/>
        <w:t xml:space="preserve">от </w:t>
      </w:r>
      <w:hyperlink r:id="rId11" w:tooltip="Решение 31 от 12.04.2024 Совета ЕЭК&#10;&#10;Изменения в Единый перечень продукции, в отношении которой устанавливаются обязательные требования в рамках ТС" w:history="1">
        <w:r>
          <w:rPr>
            <w:rStyle w:val="a3"/>
            <w:rFonts w:eastAsia="Times New Roman"/>
          </w:rPr>
          <w:t>12.04.2024 N 31</w:t>
        </w:r>
      </w:hyperlink>
      <w:r>
        <w:rPr>
          <w:rFonts w:eastAsia="Times New Roman"/>
        </w:rPr>
        <w:t xml:space="preserve">) </w:t>
      </w:r>
    </w:p>
    <w:p w:rsidR="00000000" w:rsidRDefault="00ED021A">
      <w:pPr>
        <w:pStyle w:val="a5"/>
      </w:pPr>
      <w:r>
        <w:t> </w:t>
      </w:r>
    </w:p>
    <w:p w:rsidR="00000000" w:rsidRDefault="00ED021A">
      <w:pPr>
        <w:pStyle w:val="a5"/>
      </w:pPr>
      <w:r>
        <w:t xml:space="preserve">1. </w:t>
      </w:r>
      <w:hyperlink r:id="rId12" w:tooltip="Решение 823 от 18.10.2011 КТС&#10;&#10;Техрегламент ТС &quot;О безопасности машин и оборудования&quot; " w:history="1">
        <w:r>
          <w:rPr>
            <w:rStyle w:val="a3"/>
          </w:rPr>
          <w:t>Машины и оборудование</w:t>
        </w:r>
      </w:hyperlink>
      <w:r>
        <w:t xml:space="preserve"> </w:t>
      </w:r>
    </w:p>
    <w:p w:rsidR="00000000" w:rsidRDefault="00ED021A">
      <w:pPr>
        <w:pStyle w:val="a5"/>
      </w:pPr>
      <w:r>
        <w:t xml:space="preserve">2. </w:t>
      </w:r>
      <w:hyperlink r:id="rId13" w:anchor="01" w:tooltip="Решение 768 от 16.08.2011 КТС&#10;&#10;Техрегламент ТС &quot;О безопасности низковольтного оборудования&quot; " w:history="1">
        <w:r>
          <w:rPr>
            <w:rStyle w:val="a3"/>
          </w:rPr>
          <w:t>Низковольтное оборудование</w:t>
        </w:r>
      </w:hyperlink>
      <w:r>
        <w:t xml:space="preserve"> </w:t>
      </w:r>
    </w:p>
    <w:p w:rsidR="00000000" w:rsidRDefault="00ED021A">
      <w:pPr>
        <w:pStyle w:val="a5"/>
      </w:pPr>
      <w:r>
        <w:t xml:space="preserve">3. Высоковольтное оборудование </w:t>
      </w:r>
    </w:p>
    <w:p w:rsidR="00000000" w:rsidRDefault="00ED021A">
      <w:pPr>
        <w:pStyle w:val="a5"/>
      </w:pPr>
      <w:r>
        <w:t xml:space="preserve">4. </w:t>
      </w:r>
      <w:hyperlink r:id="rId14" w:anchor="tr01" w:tooltip="Решение 875 от 09.12.2011 КТС&#10;&#10;Техрегламент ТС &quot;О безопасности аппаратов, работающих на газообразном топливе&quot; " w:history="1">
        <w:r>
          <w:rPr>
            <w:rStyle w:val="a3"/>
          </w:rPr>
          <w:t>Аппараты, работающие на газообразном топливе</w:t>
        </w:r>
      </w:hyperlink>
      <w:r>
        <w:t xml:space="preserve"> </w:t>
      </w:r>
    </w:p>
    <w:p w:rsidR="00000000" w:rsidRDefault="00ED021A">
      <w:pPr>
        <w:pStyle w:val="a5"/>
      </w:pPr>
      <w:r>
        <w:t xml:space="preserve">5. </w:t>
      </w:r>
      <w:hyperlink r:id="rId15" w:anchor="tr01" w:tooltip="Решение 41 от 02.07.2013 Совета ЕЭК&#10;&#10;Техрегламент ТС &quot;О безопасности оборудования, работающего под избыточным давлением&quot; " w:history="1">
        <w:r>
          <w:rPr>
            <w:rStyle w:val="a3"/>
          </w:rPr>
          <w:t>Оборудование, работающее под избыточным давлением</w:t>
        </w:r>
      </w:hyperlink>
      <w:r>
        <w:t xml:space="preserve"> </w:t>
      </w:r>
    </w:p>
    <w:p w:rsidR="00000000" w:rsidRDefault="00ED021A">
      <w:pPr>
        <w:pStyle w:val="a5"/>
      </w:pPr>
      <w:r>
        <w:t xml:space="preserve">6. Сосуды, работающие под давлением </w:t>
      </w:r>
    </w:p>
    <w:p w:rsidR="00000000" w:rsidRDefault="00ED021A">
      <w:pPr>
        <w:pStyle w:val="a5"/>
      </w:pPr>
      <w:r>
        <w:t xml:space="preserve">7. </w:t>
      </w:r>
      <w:hyperlink r:id="rId16" w:anchor="tr" w:tooltip="Решение 825 от 18.10.2011 КТС&#10;&#10;Техрегламент ТС &quot;О безопасности оборудования для работы во взрывоопасных средах&quot;" w:history="1">
        <w:r>
          <w:rPr>
            <w:rStyle w:val="a3"/>
          </w:rPr>
          <w:t xml:space="preserve">Оборудование для работы во взрывоопасных средах </w:t>
        </w:r>
      </w:hyperlink>
    </w:p>
    <w:p w:rsidR="00000000" w:rsidRDefault="00ED021A">
      <w:pPr>
        <w:pStyle w:val="a5"/>
      </w:pPr>
      <w:r>
        <w:t xml:space="preserve">8. </w:t>
      </w:r>
      <w:hyperlink r:id="rId17" w:anchor="p1" w:tooltip="Решение 114 от 18.10.2016 Совета ЕЭК&#10;&#10;Техрегламент ЕАЭС «О безопасности аттракционов»" w:history="1">
        <w:r>
          <w:rPr>
            <w:rStyle w:val="a3"/>
          </w:rPr>
          <w:t>Аттракционы</w:t>
        </w:r>
      </w:hyperlink>
      <w:r>
        <w:t xml:space="preserve">, </w:t>
      </w:r>
      <w:hyperlink r:id="rId18" w:anchor="tr" w:tooltip="Решение 21 от 17.05.2017 Совета ЕЭК&#10;&#10;Техрегламент ЕАЭС «О безопасности оборудования для детских игровых площадок»" w:history="1">
        <w:r>
          <w:rPr>
            <w:rStyle w:val="a3"/>
          </w:rPr>
          <w:t>оборудование</w:t>
        </w:r>
      </w:hyperlink>
      <w:r>
        <w:t xml:space="preserve"> детских игровых пло</w:t>
      </w:r>
      <w:r>
        <w:t>щадок</w:t>
      </w:r>
    </w:p>
    <w:p w:rsidR="00000000" w:rsidRDefault="00ED021A">
      <w:pPr>
        <w:pStyle w:val="a5"/>
      </w:pPr>
      <w:r>
        <w:t xml:space="preserve">9. </w:t>
      </w:r>
      <w:hyperlink r:id="rId19" w:anchor="reglam" w:tooltip="Решение 824 от 18.10.2011 КТС&#10;&#10;Техрегламент ТС &quot;Безопасность лифтов&quot;" w:history="1">
        <w:r>
          <w:rPr>
            <w:rStyle w:val="a3"/>
          </w:rPr>
          <w:t>Лифты</w:t>
        </w:r>
      </w:hyperlink>
      <w:r>
        <w:t xml:space="preserve"> </w:t>
      </w:r>
    </w:p>
    <w:p w:rsidR="00000000" w:rsidRDefault="00ED021A">
      <w:pPr>
        <w:pStyle w:val="a5"/>
      </w:pPr>
      <w:r>
        <w:t xml:space="preserve">10. </w:t>
      </w:r>
      <w:hyperlink r:id="rId20" w:anchor="reglam" w:tooltip="Решение 877 от 09.12.2011 КТС&#10;&#10;Техрегламент ТС &quot;О безопасности колесных транспортных средств&quot;" w:history="1">
        <w:r>
          <w:rPr>
            <w:rStyle w:val="a3"/>
          </w:rPr>
          <w:t>Колесные транспортные средства</w:t>
        </w:r>
      </w:hyperlink>
      <w:r>
        <w:t xml:space="preserve"> </w:t>
      </w:r>
    </w:p>
    <w:p w:rsidR="00000000" w:rsidRDefault="00ED021A">
      <w:pPr>
        <w:pStyle w:val="a5"/>
      </w:pPr>
      <w:r>
        <w:t xml:space="preserve">11. </w:t>
      </w:r>
      <w:hyperlink r:id="rId21" w:anchor="tr01" w:tooltip="Решение 60 от 20.07.2012 Совета ЕЭК&#10;&#10;Техрегламент ТС &quot;О безопасности с/х и л/х тракторов и прицепов к ним&quot;" w:history="1">
        <w:r>
          <w:rPr>
            <w:rStyle w:val="a3"/>
          </w:rPr>
          <w:t>Тракторы</w:t>
        </w:r>
      </w:hyperlink>
      <w:r>
        <w:t xml:space="preserve"> </w:t>
      </w:r>
    </w:p>
    <w:p w:rsidR="00000000" w:rsidRDefault="00ED021A">
      <w:pPr>
        <w:pStyle w:val="a5"/>
      </w:pPr>
      <w:r>
        <w:t xml:space="preserve">12. </w:t>
      </w:r>
      <w:hyperlink r:id="rId22" w:anchor="tr01" w:tooltip="Решение 60 от 20.07.2012 Совета ЕЭК&#10;&#10;Техрегламент ТС &quot;О безопасности с/х и л/х тракторов и прицепов к ним&quot;" w:history="1">
        <w:r>
          <w:rPr>
            <w:rStyle w:val="a3"/>
          </w:rPr>
          <w:t>Сельскохозяйственная техника</w:t>
        </w:r>
      </w:hyperlink>
      <w:r>
        <w:t xml:space="preserve"> </w:t>
      </w:r>
    </w:p>
    <w:p w:rsidR="00000000" w:rsidRDefault="00ED021A">
      <w:pPr>
        <w:pStyle w:val="a5"/>
      </w:pPr>
      <w:r>
        <w:t xml:space="preserve">13. </w:t>
      </w:r>
      <w:hyperlink r:id="rId23" w:anchor="tr01" w:tooltip="Решение 60 от 20.07.2012 Совета ЕЭК&#10;&#10;Техрегламент ТС &quot;О безопасности с/х и л/х тракторов и прицепов к ним&quot;" w:history="1">
        <w:r>
          <w:rPr>
            <w:rStyle w:val="a3"/>
          </w:rPr>
          <w:t>Машины для лесного хозяйства</w:t>
        </w:r>
      </w:hyperlink>
      <w:r>
        <w:t xml:space="preserve"> </w:t>
      </w:r>
    </w:p>
    <w:p w:rsidR="00000000" w:rsidRDefault="00ED021A">
      <w:pPr>
        <w:pStyle w:val="a5"/>
      </w:pPr>
      <w:r>
        <w:t xml:space="preserve">14. Шины </w:t>
      </w:r>
    </w:p>
    <w:p w:rsidR="00000000" w:rsidRDefault="00ED021A">
      <w:pPr>
        <w:pStyle w:val="a5"/>
      </w:pPr>
      <w:r>
        <w:lastRenderedPageBreak/>
        <w:t xml:space="preserve">15. </w:t>
      </w:r>
      <w:hyperlink r:id="rId24" w:tooltip="Решение 710 от 15.07.2011 КТС&#10;&#10;О принятии техрегламентов ТС о безопасности ж/д транспорта и его инфраструктуры" w:history="1">
        <w:r>
          <w:rPr>
            <w:rStyle w:val="a3"/>
          </w:rPr>
          <w:t>Подвижной состав</w:t>
        </w:r>
      </w:hyperlink>
      <w:r>
        <w:t xml:space="preserve"> железнодорожного транспорта, в том числе высокоскоростной </w:t>
      </w:r>
    </w:p>
    <w:p w:rsidR="00000000" w:rsidRDefault="00ED021A">
      <w:pPr>
        <w:pStyle w:val="a5"/>
      </w:pPr>
      <w:r>
        <w:t xml:space="preserve">16. Подвижной состав метрополитена </w:t>
      </w:r>
    </w:p>
    <w:p w:rsidR="00000000" w:rsidRDefault="00ED021A">
      <w:pPr>
        <w:pStyle w:val="a5"/>
      </w:pPr>
      <w:r>
        <w:t>1</w:t>
      </w:r>
      <w:r>
        <w:t xml:space="preserve">7. Легкий рельсовый транспорт, трамваи </w:t>
      </w:r>
    </w:p>
    <w:p w:rsidR="00000000" w:rsidRDefault="00ED021A">
      <w:pPr>
        <w:pStyle w:val="a5"/>
      </w:pPr>
      <w:r>
        <w:t xml:space="preserve">18. Объекты морского транспорта </w:t>
      </w:r>
    </w:p>
    <w:p w:rsidR="00000000" w:rsidRDefault="00ED021A">
      <w:pPr>
        <w:pStyle w:val="a5"/>
      </w:pPr>
      <w:r>
        <w:t xml:space="preserve">19. Объекты внутреннего водного транспорта </w:t>
      </w:r>
    </w:p>
    <w:p w:rsidR="00000000" w:rsidRDefault="00ED021A">
      <w:pPr>
        <w:pStyle w:val="a5"/>
      </w:pPr>
      <w:r>
        <w:t xml:space="preserve">20. </w:t>
      </w:r>
      <w:hyperlink r:id="rId25" w:anchor="tr01" w:tooltip="Решение 33 от 15.06.2012 Совета ЕЭК&#10;&#10;Техрегламент ТС &quot;О безопасности маломерных судов&quot;" w:history="1">
        <w:r>
          <w:rPr>
            <w:rStyle w:val="a3"/>
          </w:rPr>
          <w:t>Маломерные суда</w:t>
        </w:r>
      </w:hyperlink>
      <w:r>
        <w:t xml:space="preserve"> </w:t>
      </w:r>
    </w:p>
    <w:p w:rsidR="00000000" w:rsidRDefault="00ED021A">
      <w:pPr>
        <w:pStyle w:val="a5"/>
      </w:pPr>
      <w:r>
        <w:t xml:space="preserve">21. Здания и сооружения </w:t>
      </w:r>
    </w:p>
    <w:p w:rsidR="00000000" w:rsidRDefault="00ED021A">
      <w:pPr>
        <w:pStyle w:val="a5"/>
      </w:pPr>
      <w:r>
        <w:t xml:space="preserve">22. Строительные материалы и изделия </w:t>
      </w:r>
    </w:p>
    <w:p w:rsidR="00000000" w:rsidRDefault="00ED021A">
      <w:pPr>
        <w:pStyle w:val="a5"/>
      </w:pPr>
      <w:r>
        <w:t xml:space="preserve">23. </w:t>
      </w:r>
      <w:hyperlink r:id="rId26" w:anchor="d3" w:tooltip="Решение 710 от 15.07.2011 КТС&#10;&#10;О принятии техрегламентов ТС о безопасности ж/д транспорта и его инфраструктуры" w:history="1">
        <w:r>
          <w:rPr>
            <w:rStyle w:val="a3"/>
          </w:rPr>
          <w:t>Инфраструктура</w:t>
        </w:r>
      </w:hyperlink>
      <w:r>
        <w:t xml:space="preserve"> железнодорожного транспорта, в том числе высокоскоростного </w:t>
      </w:r>
    </w:p>
    <w:p w:rsidR="00000000" w:rsidRDefault="00ED021A">
      <w:pPr>
        <w:pStyle w:val="a5"/>
      </w:pPr>
      <w:r>
        <w:t xml:space="preserve">24. Инфраструктура метрополитена </w:t>
      </w:r>
    </w:p>
    <w:p w:rsidR="00000000" w:rsidRDefault="00ED021A">
      <w:pPr>
        <w:pStyle w:val="a5"/>
      </w:pPr>
      <w:r>
        <w:t xml:space="preserve">25. </w:t>
      </w:r>
      <w:hyperlink r:id="rId27" w:anchor="reglam" w:tooltip="Решение 827 от 18.10.2011 КТС&#10;&#10;Техрегламент ТС &quot;О безопасности автомобильных дорог&quot;" w:history="1">
        <w:r>
          <w:rPr>
            <w:rStyle w:val="a3"/>
          </w:rPr>
          <w:t>Автомобильные дороги</w:t>
        </w:r>
      </w:hyperlink>
      <w:r>
        <w:t xml:space="preserve"> </w:t>
      </w:r>
    </w:p>
    <w:p w:rsidR="00000000" w:rsidRDefault="00ED021A">
      <w:pPr>
        <w:pStyle w:val="a5"/>
      </w:pPr>
      <w:r>
        <w:t xml:space="preserve">26. </w:t>
      </w:r>
      <w:hyperlink r:id="rId28" w:anchor="reglam" w:tooltip="Решение 770 от 16.08.2011 КТС&#10;&#10;Техрегламент ТС &quot;О безопасности пиротехнических изделий&quot;" w:history="1">
        <w:r>
          <w:rPr>
            <w:rStyle w:val="a3"/>
          </w:rPr>
          <w:t>Пиротехнические составы</w:t>
        </w:r>
      </w:hyperlink>
      <w:r>
        <w:t xml:space="preserve"> и содержащие их изделия </w:t>
      </w:r>
    </w:p>
    <w:p w:rsidR="00000000" w:rsidRDefault="00ED021A">
      <w:pPr>
        <w:pStyle w:val="a5"/>
      </w:pPr>
      <w:r>
        <w:t xml:space="preserve">27. </w:t>
      </w:r>
      <w:hyperlink r:id="rId29" w:anchor="tr01" w:tooltip="Решение 57 от 20.07.2012 Совета ЕЭК&#10;&#10;Техрегламент ТС &quot;О безопасности взрывчатых веществ и изделий на их основе&quot;" w:history="1">
        <w:r>
          <w:rPr>
            <w:rStyle w:val="a3"/>
          </w:rPr>
          <w:t>Взрывчатые вещества</w:t>
        </w:r>
      </w:hyperlink>
      <w:r>
        <w:t xml:space="preserve"> гражданского применения и содержащие их изделия </w:t>
      </w:r>
    </w:p>
    <w:p w:rsidR="00000000" w:rsidRDefault="00ED021A">
      <w:pPr>
        <w:pStyle w:val="a5"/>
      </w:pPr>
      <w:r>
        <w:t xml:space="preserve">28. </w:t>
      </w:r>
      <w:hyperlink r:id="rId30" w:anchor="reg01" w:tooltip="Решение 876 от 09.12.2011 КТС&#10;&#10;Техрегламент ТC &quot;О безопасности продукции легкой промышленности&quot;" w:history="1">
        <w:r>
          <w:rPr>
            <w:rStyle w:val="a3"/>
          </w:rPr>
          <w:t>Продукция легкой промышленности</w:t>
        </w:r>
      </w:hyperlink>
      <w:r>
        <w:t xml:space="preserve"> (готовые штучные изделия, ковры и ковровые изделия, изделия трикотажные, швейные и кожгалантерейные; обувь; меха и меховые изделия) </w:t>
      </w:r>
    </w:p>
    <w:p w:rsidR="00000000" w:rsidRDefault="00ED021A">
      <w:pPr>
        <w:pStyle w:val="a5"/>
      </w:pPr>
      <w:r>
        <w:t xml:space="preserve">29. </w:t>
      </w:r>
      <w:hyperlink r:id="rId31" w:anchor="p01" w:tooltip="Решение 798 от 23.09.2011 КТС&#10;&#10;Техрегламент ТС &quot;О безопасности игрушек&quot;" w:history="1">
        <w:r>
          <w:rPr>
            <w:rStyle w:val="a3"/>
          </w:rPr>
          <w:t>Игрушки</w:t>
        </w:r>
      </w:hyperlink>
      <w:r>
        <w:t xml:space="preserve"> </w:t>
      </w:r>
    </w:p>
    <w:p w:rsidR="00000000" w:rsidRDefault="00ED021A">
      <w:pPr>
        <w:pStyle w:val="a5"/>
      </w:pPr>
      <w:r>
        <w:t xml:space="preserve">30. </w:t>
      </w:r>
      <w:hyperlink r:id="rId32" w:anchor="tr01" w:tooltip="Решение 797 от 23.09.2011 КТС&#10;&#10;Техрегламент ТС &quot;О безопасности продукции, предназначенной для детей и подростков&quot;" w:history="1">
        <w:r>
          <w:rPr>
            <w:rStyle w:val="a3"/>
          </w:rPr>
          <w:t xml:space="preserve">Товары для детей и подростков </w:t>
        </w:r>
      </w:hyperlink>
    </w:p>
    <w:p w:rsidR="00000000" w:rsidRDefault="00ED021A">
      <w:pPr>
        <w:pStyle w:val="a5"/>
      </w:pPr>
      <w:r>
        <w:t xml:space="preserve">31. </w:t>
      </w:r>
      <w:hyperlink r:id="rId33" w:anchor="tr01" w:tooltip="Решение 797 от 23.09.2011 КТС&#10;&#10;Техрегламент ТС &quot;О безопасности продукции, предназначенной для детей и подростков&quot;" w:history="1">
        <w:r>
          <w:rPr>
            <w:rStyle w:val="a3"/>
          </w:rPr>
          <w:t>Изделия для ухода за детьми</w:t>
        </w:r>
      </w:hyperlink>
    </w:p>
    <w:p w:rsidR="00000000" w:rsidRDefault="00ED021A">
      <w:pPr>
        <w:pStyle w:val="a5"/>
      </w:pPr>
      <w:r>
        <w:t xml:space="preserve">32. Посуда </w:t>
      </w:r>
    </w:p>
    <w:p w:rsidR="00000000" w:rsidRDefault="00ED021A">
      <w:pPr>
        <w:pStyle w:val="a5"/>
      </w:pPr>
      <w:r>
        <w:t xml:space="preserve">33. Изделия санитарно-гигиенического назначения </w:t>
      </w:r>
    </w:p>
    <w:p w:rsidR="00000000" w:rsidRDefault="00ED021A">
      <w:pPr>
        <w:pStyle w:val="a5"/>
      </w:pPr>
      <w:r>
        <w:t xml:space="preserve">34. </w:t>
      </w:r>
      <w:hyperlink r:id="rId34" w:anchor="t1" w:tooltip="Решение 799 от 23.09.2011 КТС&#10;&#10;Техрегламент ТС &quot;О безопасности парфюмерно-косметической продукции&quot;" w:history="1">
        <w:r>
          <w:rPr>
            <w:rStyle w:val="a3"/>
          </w:rPr>
          <w:t>Парфюмерно-косметическая продукция</w:t>
        </w:r>
      </w:hyperlink>
      <w:r>
        <w:t xml:space="preserve"> </w:t>
      </w:r>
    </w:p>
    <w:p w:rsidR="00000000" w:rsidRDefault="00ED021A">
      <w:pPr>
        <w:pStyle w:val="a5"/>
      </w:pPr>
      <w:r>
        <w:t xml:space="preserve">35. </w:t>
      </w:r>
      <w:hyperlink r:id="rId35" w:anchor="a1" w:tooltip="Решение 799 от 23.09.2011 КТС&#10;&#10;Техрегламент ТС &quot;О безопасности парфюмерно-косметической продукции&quot;" w:history="1">
        <w:r>
          <w:rPr>
            <w:rStyle w:val="a3"/>
          </w:rPr>
          <w:t>Средства гигиены полости рта</w:t>
        </w:r>
      </w:hyperlink>
      <w:r>
        <w:t xml:space="preserve"> </w:t>
      </w:r>
    </w:p>
    <w:p w:rsidR="00000000" w:rsidRDefault="00ED021A">
      <w:pPr>
        <w:pStyle w:val="a5"/>
      </w:pPr>
      <w:r>
        <w:t xml:space="preserve">36. </w:t>
      </w:r>
      <w:hyperlink r:id="rId36" w:anchor="reglam" w:tooltip="Решение 769 от 16.08.2011 КТС&#10;&#10;Техрегламент ТС &quot;О безопасности упаковки&quot;" w:history="1">
        <w:r>
          <w:rPr>
            <w:rStyle w:val="a3"/>
          </w:rPr>
          <w:t>Тара и упаковка</w:t>
        </w:r>
      </w:hyperlink>
      <w:r>
        <w:t xml:space="preserve"> </w:t>
      </w:r>
    </w:p>
    <w:p w:rsidR="00000000" w:rsidRDefault="00ED021A">
      <w:pPr>
        <w:pStyle w:val="a5"/>
      </w:pPr>
      <w:r>
        <w:t xml:space="preserve">37. </w:t>
      </w:r>
      <w:hyperlink r:id="rId37" w:anchor="tr" w:tooltip="Решение 878 от 09.12.2011 КТС&#10;&#10;Техрегламент ТС &quot;О безопасности средств индивидуальной защиты&quot;" w:history="1">
        <w:r>
          <w:rPr>
            <w:rStyle w:val="a3"/>
          </w:rPr>
          <w:t>Средства индивидуальной защиты</w:t>
        </w:r>
      </w:hyperlink>
      <w:r>
        <w:t xml:space="preserve"> </w:t>
      </w:r>
    </w:p>
    <w:p w:rsidR="00000000" w:rsidRDefault="00ED021A">
      <w:pPr>
        <w:pStyle w:val="a5"/>
      </w:pPr>
      <w:r>
        <w:t xml:space="preserve">38. </w:t>
      </w:r>
      <w:hyperlink r:id="rId38" w:anchor="tr" w:tooltip="Решение 40 от 23.06.2017 Совета ЕЭК&#10;&#10;Технический регламент ЕАЭС &quot;О требованиях к средствам обеспечения пожарной безопасности и пожаротушения&quot;" w:history="1">
        <w:r>
          <w:rPr>
            <w:rStyle w:val="a3"/>
          </w:rPr>
          <w:t>Средства обеспечения</w:t>
        </w:r>
      </w:hyperlink>
      <w:r>
        <w:t xml:space="preserve"> пожарной безопасности </w:t>
      </w:r>
    </w:p>
    <w:p w:rsidR="00000000" w:rsidRDefault="00ED021A">
      <w:pPr>
        <w:pStyle w:val="a5"/>
      </w:pPr>
      <w:r>
        <w:t xml:space="preserve">39. </w:t>
      </w:r>
      <w:hyperlink r:id="rId39" w:anchor="tr" w:tooltip="Решение 40 от 23.06.2017 Совета ЕЭК&#10;&#10;Технический регламент ЕАЭС &quot;О требованиях к средствам обеспечения пожарной безопасности и пожаротушения&quot;" w:history="1">
        <w:r>
          <w:rPr>
            <w:rStyle w:val="a3"/>
          </w:rPr>
          <w:t>Средства пожаротушения</w:t>
        </w:r>
      </w:hyperlink>
      <w:r>
        <w:t xml:space="preserve"> </w:t>
      </w:r>
    </w:p>
    <w:p w:rsidR="00000000" w:rsidRDefault="00ED021A">
      <w:pPr>
        <w:pStyle w:val="a5"/>
      </w:pPr>
      <w:r>
        <w:lastRenderedPageBreak/>
        <w:t xml:space="preserve">40. Медицинские </w:t>
      </w:r>
      <w:r>
        <w:t xml:space="preserve">изделия </w:t>
      </w:r>
    </w:p>
    <w:p w:rsidR="00000000" w:rsidRDefault="00ED021A">
      <w:pPr>
        <w:pStyle w:val="a5"/>
      </w:pPr>
      <w:r>
        <w:t xml:space="preserve">41. Изделия санитарно-технические </w:t>
      </w:r>
    </w:p>
    <w:p w:rsidR="00000000" w:rsidRDefault="00ED021A">
      <w:pPr>
        <w:pStyle w:val="a5"/>
      </w:pPr>
      <w:r>
        <w:t xml:space="preserve">42. </w:t>
      </w:r>
      <w:hyperlink r:id="rId40" w:anchor="tr" w:tooltip="Решение 32 от 15.06.2012 Совета ЕЭК&#10;&#10;Техрегламент ТС &quot;О безопасности мебельной продукции&quot;" w:history="1">
        <w:r>
          <w:rPr>
            <w:rStyle w:val="a3"/>
          </w:rPr>
          <w:t>Мебельная продукция</w:t>
        </w:r>
      </w:hyperlink>
      <w:r>
        <w:t xml:space="preserve"> </w:t>
      </w:r>
    </w:p>
    <w:p w:rsidR="00000000" w:rsidRDefault="00ED021A">
      <w:pPr>
        <w:pStyle w:val="a5"/>
      </w:pPr>
      <w:r>
        <w:t xml:space="preserve">43. </w:t>
      </w:r>
      <w:hyperlink r:id="rId41" w:anchor="p1" w:tooltip="Решение 19 от 03.03.2017 Совета ЕЭК&#10;&#10;Техрегламент ЕАЭС &quot;О безопасности химической продукции&quot;" w:history="1">
        <w:r>
          <w:rPr>
            <w:rStyle w:val="a3"/>
          </w:rPr>
          <w:t>Химическая продукция</w:t>
        </w:r>
      </w:hyperlink>
      <w:r>
        <w:t xml:space="preserve"> </w:t>
      </w:r>
    </w:p>
    <w:p w:rsidR="00000000" w:rsidRDefault="00ED021A">
      <w:pPr>
        <w:pStyle w:val="a5"/>
      </w:pPr>
      <w:r>
        <w:t xml:space="preserve">44. Синтетические моющие средства </w:t>
      </w:r>
    </w:p>
    <w:p w:rsidR="00000000" w:rsidRDefault="00ED021A">
      <w:pPr>
        <w:pStyle w:val="a5"/>
      </w:pPr>
      <w:r>
        <w:t xml:space="preserve">45. Товары бытовой химии </w:t>
      </w:r>
    </w:p>
    <w:p w:rsidR="00000000" w:rsidRDefault="00ED021A">
      <w:pPr>
        <w:pStyle w:val="a5"/>
      </w:pPr>
      <w:r>
        <w:t>46. Лакокрасочные материалы и рас</w:t>
      </w:r>
      <w:r>
        <w:t xml:space="preserve">творители </w:t>
      </w:r>
    </w:p>
    <w:p w:rsidR="00000000" w:rsidRDefault="00ED021A">
      <w:pPr>
        <w:pStyle w:val="a5"/>
      </w:pPr>
      <w:r>
        <w:t xml:space="preserve">47. </w:t>
      </w:r>
      <w:hyperlink r:id="rId42" w:anchor="tr" w:tooltip="Решение 150 от 30.11.2016 Совета ЕЭК&#10;&#10;О техрегламенте ЕАЭС «О требованиях к минеральным удобрениям»" w:history="1">
        <w:r>
          <w:rPr>
            <w:rStyle w:val="a3"/>
          </w:rPr>
          <w:t>Удобрения</w:t>
        </w:r>
      </w:hyperlink>
      <w:r>
        <w:t xml:space="preserve"> </w:t>
      </w:r>
    </w:p>
    <w:p w:rsidR="00000000" w:rsidRDefault="00ED021A">
      <w:pPr>
        <w:pStyle w:val="a5"/>
      </w:pPr>
      <w:r>
        <w:t xml:space="preserve">48. Средства защиты растений </w:t>
      </w:r>
    </w:p>
    <w:p w:rsidR="00000000" w:rsidRDefault="00ED021A">
      <w:pPr>
        <w:pStyle w:val="a5"/>
      </w:pPr>
      <w:r>
        <w:t xml:space="preserve">49. </w:t>
      </w:r>
      <w:hyperlink r:id="rId43" w:anchor="reglam" w:tooltip="Решение 826 от 18.10.2011 КТС&#10;&#10;Техрегламент ТC &quot;О требованиях к автомобильному и авиационному бензину, дизельному и судовому топливу&quot;" w:history="1">
        <w:r>
          <w:rPr>
            <w:rStyle w:val="a3"/>
          </w:rPr>
          <w:t>Бензины, дизельное и судовое топливо</w:t>
        </w:r>
      </w:hyperlink>
      <w:r>
        <w:t xml:space="preserve">, топливо для реактивных двигателей и </w:t>
      </w:r>
      <w:r>
        <w:t xml:space="preserve">топочный мазут </w:t>
      </w:r>
    </w:p>
    <w:p w:rsidR="00000000" w:rsidRDefault="00ED021A">
      <w:pPr>
        <w:pStyle w:val="a5"/>
      </w:pPr>
      <w:r>
        <w:t xml:space="preserve">50. </w:t>
      </w:r>
      <w:hyperlink r:id="rId44" w:anchor="reglam" w:tooltip="Решение 59 от 20.07.2012 Совета ЕЭК&#10;&#10;Техрегламент ТС &quot;О требованиях к смазочным материалам, маслам и специальным жидкостям&quot;" w:history="1">
        <w:r>
          <w:rPr>
            <w:rStyle w:val="a3"/>
          </w:rPr>
          <w:t>Смазочные материалы</w:t>
        </w:r>
      </w:hyperlink>
      <w:r>
        <w:t>, масла и специальн</w:t>
      </w:r>
      <w:r>
        <w:t xml:space="preserve">ые жидкости </w:t>
      </w:r>
    </w:p>
    <w:p w:rsidR="00000000" w:rsidRDefault="00ED021A">
      <w:pPr>
        <w:pStyle w:val="a5"/>
      </w:pPr>
      <w:r>
        <w:t xml:space="preserve">51. Приборы и системы учета воды, газа, тепловой энергии, электрической энергии </w:t>
      </w:r>
    </w:p>
    <w:p w:rsidR="00000000" w:rsidRDefault="00ED021A">
      <w:pPr>
        <w:pStyle w:val="a5"/>
      </w:pPr>
      <w:r>
        <w:t xml:space="preserve">52. Приборы и системы учета нефти, продуктов ее переработки </w:t>
      </w:r>
    </w:p>
    <w:p w:rsidR="00000000" w:rsidRDefault="00ED021A">
      <w:pPr>
        <w:pStyle w:val="a5"/>
      </w:pPr>
      <w:r>
        <w:t xml:space="preserve">53. </w:t>
      </w:r>
      <w:hyperlink r:id="rId45" w:anchor="reglam" w:tooltip="Решение 880 от 09.12.2011 КТС&#10;&#10;Техрегламент ТС &quot;О безопасности пищевой продукции&quot;" w:history="1">
        <w:r>
          <w:rPr>
            <w:rStyle w:val="a3"/>
          </w:rPr>
          <w:t xml:space="preserve">Пищевая продукция </w:t>
        </w:r>
      </w:hyperlink>
    </w:p>
    <w:p w:rsidR="00000000" w:rsidRDefault="00ED021A">
      <w:pPr>
        <w:pStyle w:val="a5"/>
      </w:pPr>
      <w:r>
        <w:t xml:space="preserve">54. Алкогольная продукция </w:t>
      </w:r>
    </w:p>
    <w:p w:rsidR="00000000" w:rsidRDefault="00ED021A">
      <w:pPr>
        <w:pStyle w:val="a5"/>
      </w:pPr>
      <w:r>
        <w:t xml:space="preserve">55. Корма и кормовые добавки </w:t>
      </w:r>
    </w:p>
    <w:p w:rsidR="00000000" w:rsidRDefault="00ED021A">
      <w:pPr>
        <w:pStyle w:val="a5"/>
      </w:pPr>
      <w:r>
        <w:t xml:space="preserve">56. </w:t>
      </w:r>
      <w:hyperlink r:id="rId46" w:anchor="tr" w:tooltip="Решение 874 от 09.12.2011 КТС&#10;&#10;Техрегламент ТС &quot;О безопасности зерна&quot;" w:history="1">
        <w:r>
          <w:rPr>
            <w:rStyle w:val="a3"/>
          </w:rPr>
          <w:t>Зерно</w:t>
        </w:r>
      </w:hyperlink>
      <w:r>
        <w:t xml:space="preserve"> </w:t>
      </w:r>
    </w:p>
    <w:p w:rsidR="00000000" w:rsidRDefault="00ED021A">
      <w:pPr>
        <w:pStyle w:val="a5"/>
      </w:pPr>
      <w:r>
        <w:t xml:space="preserve">57. </w:t>
      </w:r>
      <w:hyperlink r:id="rId47" w:anchor="tr01" w:tooltip="Решение 107 от 12.11.2014 Совета ЕЭК&#10;&#10;Технический регламент на табачную продукцию" w:history="1">
        <w:r>
          <w:rPr>
            <w:rStyle w:val="a3"/>
          </w:rPr>
          <w:t>Табачная продукция</w:t>
        </w:r>
      </w:hyperlink>
    </w:p>
    <w:p w:rsidR="00000000" w:rsidRDefault="00ED021A">
      <w:pPr>
        <w:shd w:val="clear" w:color="auto" w:fill="FFFFFF"/>
        <w:ind w:firstLine="240"/>
        <w:divId w:val="860968304"/>
        <w:rPr>
          <w:rFonts w:eastAsia="Times New Roman"/>
          <w:vanish/>
          <w:color w:val="00AA00"/>
        </w:rPr>
      </w:pPr>
      <w:r>
        <w:rPr>
          <w:rFonts w:eastAsia="Times New Roman"/>
          <w:vanish/>
          <w:color w:val="00AA00"/>
        </w:rPr>
        <w:t xml:space="preserve">Нов. ред. </w:t>
      </w:r>
      <w:hyperlink r:id="rId48" w:tooltip="Решение 163 от 14.12.2022 Совета ЕЭК&#10;&#10;Изменения в Единый перечень продукции, в отношении которой устанавливаются обязательные требования в рамках ТС" w:history="1">
        <w:r>
          <w:rPr>
            <w:rStyle w:val="a3"/>
            <w:rFonts w:eastAsia="Times New Roman"/>
            <w:vanish/>
          </w:rPr>
          <w:t>Решение 16</w:t>
        </w:r>
        <w:r>
          <w:rPr>
            <w:rStyle w:val="a3"/>
            <w:rFonts w:eastAsia="Times New Roman"/>
            <w:vanish/>
          </w:rPr>
          <w:t>3 от 14.12.2022 Совета ЕЭК</w:t>
        </w:r>
      </w:hyperlink>
    </w:p>
    <w:p w:rsidR="00000000" w:rsidRDefault="00ED021A">
      <w:pPr>
        <w:pStyle w:val="a5"/>
        <w:shd w:val="clear" w:color="auto" w:fill="FFFFFF"/>
        <w:divId w:val="1870099923"/>
      </w:pPr>
      <w:r>
        <w:t>58. Служебное и гражданское оружие (боеприпасы к нему), а также конструктивно сходные с оружием изделия</w:t>
      </w:r>
    </w:p>
    <w:p w:rsidR="00000000" w:rsidRDefault="00ED021A">
      <w:pPr>
        <w:shd w:val="clear" w:color="auto" w:fill="DDDDDD"/>
        <w:ind w:firstLine="240"/>
        <w:divId w:val="1068184380"/>
        <w:rPr>
          <w:rFonts w:eastAsia="Times New Roman"/>
          <w:vanish/>
          <w:color w:val="CC0000"/>
        </w:rPr>
      </w:pPr>
      <w:r>
        <w:rPr>
          <w:rFonts w:eastAsia="Times New Roman"/>
          <w:vanish/>
          <w:color w:val="CC0000"/>
        </w:rPr>
        <w:t xml:space="preserve">См. пред. ред. </w:t>
      </w:r>
      <w:hyperlink r:id="rId49" w:tooltip="Решение 526 от 28.01.2011 КТС&#10;&#10;Единый перечень продукции, в отношении которой устанавливаются обязательные требования в ТС" w:history="1">
        <w:r>
          <w:rPr>
            <w:rStyle w:val="a3"/>
            <w:rFonts w:eastAsia="Times New Roman"/>
            <w:vanish/>
          </w:rPr>
          <w:t>Решение 526 от 28.01.2011 КТС</w:t>
        </w:r>
      </w:hyperlink>
    </w:p>
    <w:p w:rsidR="00000000" w:rsidRDefault="00ED021A">
      <w:pPr>
        <w:pStyle w:val="a5"/>
        <w:shd w:val="clear" w:color="auto" w:fill="FFFFFF"/>
        <w:divId w:val="699816058"/>
        <w:rPr>
          <w:vanish/>
          <w:color w:val="BBBBBB"/>
        </w:rPr>
      </w:pPr>
      <w:r>
        <w:rPr>
          <w:vanish/>
          <w:color w:val="BBBBBB"/>
        </w:rPr>
        <w:t xml:space="preserve">58. Оружие охотничье и спортивное, боеприпасы к нему </w:t>
      </w:r>
    </w:p>
    <w:p w:rsidR="00000000" w:rsidRDefault="00ED021A">
      <w:pPr>
        <w:pStyle w:val="a5"/>
      </w:pPr>
      <w:r>
        <w:t>59. Сред</w:t>
      </w:r>
      <w:r>
        <w:t xml:space="preserve">ства электросвязи </w:t>
      </w:r>
    </w:p>
    <w:p w:rsidR="00000000" w:rsidRDefault="00ED021A">
      <w:pPr>
        <w:pStyle w:val="a5"/>
      </w:pPr>
      <w:r>
        <w:t xml:space="preserve">60. Уголь и продукты его переработки </w:t>
      </w:r>
    </w:p>
    <w:p w:rsidR="00000000" w:rsidRDefault="00ED021A">
      <w:pPr>
        <w:pStyle w:val="a5"/>
      </w:pPr>
      <w:r>
        <w:t xml:space="preserve">61. Сжиженные углеводородные газы для использования в качестве топлива </w:t>
      </w:r>
    </w:p>
    <w:p w:rsidR="00000000" w:rsidRDefault="00ED021A">
      <w:pPr>
        <w:pStyle w:val="a5"/>
      </w:pPr>
      <w:r>
        <w:t xml:space="preserve">62. Материалы, контактирующие с кожей человека </w:t>
      </w:r>
    </w:p>
    <w:p w:rsidR="00000000" w:rsidRDefault="00ED021A">
      <w:pPr>
        <w:pStyle w:val="a5"/>
      </w:pPr>
      <w:r>
        <w:t>63. Продукция, предназначенная для гражданской обороны и защиты от чрезвычайных</w:t>
      </w:r>
      <w:r>
        <w:t xml:space="preserve"> ситуаций природного и техногенного характера </w:t>
      </w:r>
    </w:p>
    <w:p w:rsidR="00000000" w:rsidRDefault="00ED021A">
      <w:pPr>
        <w:pStyle w:val="a5"/>
      </w:pPr>
      <w:r>
        <w:t xml:space="preserve">64. Нефть, подготовленная к транспортированию и (или) использованию </w:t>
      </w:r>
    </w:p>
    <w:p w:rsidR="00000000" w:rsidRDefault="00ED021A">
      <w:pPr>
        <w:pStyle w:val="a5"/>
      </w:pPr>
      <w:r>
        <w:lastRenderedPageBreak/>
        <w:t xml:space="preserve">65. Газ горючий природный, подготовленный к транспортированию и (или) использованию </w:t>
      </w:r>
    </w:p>
    <w:p w:rsidR="00000000" w:rsidRDefault="00ED021A">
      <w:pPr>
        <w:pStyle w:val="a5"/>
      </w:pPr>
      <w:r>
        <w:t>66. Магистральные трубопроводы для транспортирования жи</w:t>
      </w:r>
      <w:r>
        <w:t>дких и газообразных углеводородов</w:t>
      </w:r>
    </w:p>
    <w:p w:rsidR="00000000" w:rsidRDefault="00ED021A">
      <w:pPr>
        <w:pStyle w:val="a5"/>
      </w:pPr>
      <w:r>
        <w:t>67. Никотинсодержащая продукция. Наполнители для систем доставки никотина, в том числе безникотиновые</w:t>
      </w:r>
    </w:p>
    <w:p w:rsidR="00000000" w:rsidRDefault="00ED021A">
      <w:pPr>
        <w:pStyle w:val="a5"/>
        <w:jc w:val="both"/>
      </w:pPr>
      <w:r>
        <w:t xml:space="preserve">(п. 67 введен решением Совета Евразийской экономической комиссии от </w:t>
      </w:r>
      <w:hyperlink r:id="rId50" w:tooltip="Решение 18 от 21.02.2020 Совета ЕЭК&#10;&#10;Дополнение в Единый перечень продукции, в отношении которой устанавливаются обязательные требования в рамках ТС, в отношении никотинсодержащей продукции" w:history="1">
        <w:r>
          <w:rPr>
            <w:rStyle w:val="a3"/>
          </w:rPr>
          <w:t>21.02.2020 N 18</w:t>
        </w:r>
      </w:hyperlink>
      <w:r>
        <w:t>)</w:t>
      </w:r>
    </w:p>
    <w:p w:rsidR="00000000" w:rsidRDefault="00ED021A">
      <w:pPr>
        <w:pStyle w:val="a5"/>
        <w:jc w:val="both"/>
      </w:pPr>
      <w:r>
        <w:t>68. Оборудование и инвентарь спортивные, физкультурно-оздоро</w:t>
      </w:r>
      <w:r>
        <w:t>вительные (ворота для футбола, мини-футбола, гандбола, хоккея, мишени для стендовой стрельбы и спортинга, оборудование и инвентарь гимнастические (брусья комбинированные ассиметричные/параллельные, брусья параллельные, перекладины, устройства гимнастически</w:t>
      </w:r>
      <w:r>
        <w:t>е для опорных прыжков, бревна, батуты, кольца, шведские стенки, решетчатые лестницы, каркасные конструкции для лазания, кони, козлы, канаты, столы гимнастические, скамьи гимнастические, маты гимнастические, дорожки акробатические))</w:t>
      </w:r>
    </w:p>
    <w:p w:rsidR="00ED021A" w:rsidRDefault="00ED021A">
      <w:pPr>
        <w:pStyle w:val="a5"/>
        <w:jc w:val="both"/>
      </w:pPr>
      <w:r>
        <w:t>(п. 68 введен решением С</w:t>
      </w:r>
      <w:r>
        <w:t xml:space="preserve">овета Евразийской экономической комиссии от </w:t>
      </w:r>
      <w:hyperlink r:id="rId51" w:tooltip="Решение 31 от 12.04.2024 Совета ЕЭК&#10;&#10;Изменения в Единый перечень продукции, в отношении которой устанавливаются обязательные требования в рамках ТС" w:history="1">
        <w:r>
          <w:rPr>
            <w:rStyle w:val="a3"/>
          </w:rPr>
          <w:t>12.04.2024 N 31</w:t>
        </w:r>
      </w:hyperlink>
      <w:r>
        <w:t>)</w:t>
      </w:r>
    </w:p>
    <w:sectPr w:rsidR="00ED0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77585"/>
    <w:rsid w:val="00377585"/>
    <w:rsid w:val="003A3CCD"/>
    <w:rsid w:val="00ED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85135-B38E-42D1-948A-D7CC8826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urobrhead">
    <w:name w:val="urobr_head"/>
    <w:basedOn w:val="a"/>
    <w:uiPriority w:val="99"/>
    <w:semiHidden/>
    <w:pPr>
      <w:pBdr>
        <w:top w:val="single" w:sz="6" w:space="0" w:color="0000FF"/>
        <w:left w:val="single" w:sz="48" w:space="0" w:color="0000FF"/>
        <w:bottom w:val="single" w:sz="6" w:space="0" w:color="0000FF"/>
        <w:right w:val="single" w:sz="6" w:space="0" w:color="0000FF"/>
      </w:pBdr>
      <w:shd w:val="clear" w:color="auto" w:fill="EEEEFF"/>
      <w:spacing w:before="100" w:beforeAutospacing="1" w:after="100" w:afterAutospacing="1"/>
    </w:pPr>
    <w:rPr>
      <w:sz w:val="20"/>
      <w:szCs w:val="20"/>
    </w:rPr>
  </w:style>
  <w:style w:type="paragraph" w:customStyle="1" w:styleId="urobrheadold">
    <w:name w:val="urobr_head_old"/>
    <w:basedOn w:val="a"/>
    <w:uiPriority w:val="99"/>
    <w:semiHidden/>
    <w:pPr>
      <w:shd w:val="clear" w:color="auto" w:fill="EEEEEE"/>
      <w:spacing w:before="100" w:beforeAutospacing="1" w:after="100" w:afterAutospacing="1"/>
    </w:pPr>
  </w:style>
  <w:style w:type="paragraph" w:customStyle="1" w:styleId="urobrbody">
    <w:name w:val="urobr_body"/>
    <w:basedOn w:val="a"/>
    <w:uiPriority w:val="99"/>
    <w:semiHidden/>
    <w:pPr>
      <w:pBdr>
        <w:top w:val="single" w:sz="2" w:space="4" w:color="0000FF"/>
        <w:left w:val="single" w:sz="12" w:space="4" w:color="0000FF"/>
        <w:bottom w:val="single" w:sz="6" w:space="4" w:color="0000FF"/>
        <w:right w:val="single" w:sz="6" w:space="4" w:color="0000FF"/>
      </w:pBdr>
      <w:spacing w:before="100" w:beforeAutospacing="1" w:after="100" w:afterAutospacing="1"/>
    </w:pPr>
  </w:style>
  <w:style w:type="paragraph" w:customStyle="1" w:styleId="urobrbodyold">
    <w:name w:val="urobr_body_old"/>
    <w:basedOn w:val="a"/>
    <w:uiPriority w:val="99"/>
    <w:semiHidden/>
    <w:pPr>
      <w:spacing w:before="100" w:beforeAutospacing="1" w:after="100" w:afterAutospacing="1"/>
    </w:pPr>
  </w:style>
  <w:style w:type="paragraph" w:customStyle="1" w:styleId="collapsedblock">
    <w:name w:val="collapsed_block"/>
    <w:basedOn w:val="a"/>
    <w:uiPriority w:val="99"/>
    <w:semiHidden/>
    <w:pPr>
      <w:spacing w:before="100" w:beforeAutospacing="1" w:after="100" w:afterAutospacing="1"/>
    </w:pPr>
  </w:style>
  <w:style w:type="paragraph" w:customStyle="1" w:styleId="highlight">
    <w:name w:val="highlight"/>
    <w:basedOn w:val="a"/>
    <w:uiPriority w:val="99"/>
    <w:semiHidden/>
    <w:pPr>
      <w:shd w:val="clear" w:color="auto" w:fill="FFFF55"/>
      <w:spacing w:before="100" w:beforeAutospacing="1" w:after="100" w:afterAutospacing="1"/>
    </w:pPr>
  </w:style>
  <w:style w:type="paragraph" w:customStyle="1" w:styleId="highlightsoft">
    <w:name w:val="highlightsoft"/>
    <w:basedOn w:val="a"/>
    <w:uiPriority w:val="99"/>
    <w:semiHidden/>
    <w:pPr>
      <w:shd w:val="clear" w:color="auto" w:fill="FFCCFF"/>
      <w:spacing w:before="100" w:beforeAutospacing="1" w:after="100" w:afterAutospacing="1"/>
    </w:pPr>
  </w:style>
  <w:style w:type="paragraph" w:customStyle="1" w:styleId="right">
    <w:name w:val="right"/>
    <w:basedOn w:val="a"/>
    <w:uiPriority w:val="99"/>
    <w:semiHidden/>
    <w:pPr>
      <w:spacing w:before="100" w:beforeAutospacing="1" w:after="300"/>
      <w:jc w:val="right"/>
    </w:pPr>
  </w:style>
  <w:style w:type="paragraph" w:customStyle="1" w:styleId="center">
    <w:name w:val="center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ordw-center">
    <w:name w:val="ordw-center"/>
    <w:basedOn w:val="a"/>
    <w:uiPriority w:val="99"/>
    <w:semiHidden/>
    <w:pPr>
      <w:jc w:val="center"/>
    </w:pPr>
  </w:style>
  <w:style w:type="paragraph" w:customStyle="1" w:styleId="scrolltable">
    <w:name w:val="scroll_table"/>
    <w:basedOn w:val="a"/>
    <w:uiPriority w:val="99"/>
    <w:semiHidden/>
    <w:pPr>
      <w:spacing w:before="100" w:beforeAutospacing="1" w:after="100" w:afterAutospacing="1"/>
    </w:pPr>
  </w:style>
  <w:style w:type="paragraph" w:customStyle="1" w:styleId="scrollpre">
    <w:name w:val="scroll_pre"/>
    <w:basedOn w:val="a"/>
    <w:uiPriority w:val="99"/>
    <w:semiHidden/>
    <w:pPr>
      <w:spacing w:before="100" w:beforeAutospacing="1" w:after="100" w:afterAutospacing="1"/>
    </w:pPr>
  </w:style>
  <w:style w:type="paragraph" w:customStyle="1" w:styleId="ordw-header">
    <w:name w:val="ordw-header"/>
    <w:basedOn w:val="a"/>
    <w:uiPriority w:val="99"/>
    <w:semiHidden/>
    <w:pPr>
      <w:spacing w:before="100" w:beforeAutospacing="1" w:after="100" w:afterAutospacing="1"/>
      <w:jc w:val="center"/>
    </w:pPr>
    <w:rPr>
      <w:b/>
      <w:bCs/>
    </w:rPr>
  </w:style>
  <w:style w:type="paragraph" w:customStyle="1" w:styleId="ordw-justify">
    <w:name w:val="ordw-justify"/>
    <w:basedOn w:val="a"/>
    <w:uiPriority w:val="99"/>
    <w:semiHidden/>
    <w:pPr>
      <w:jc w:val="both"/>
    </w:pPr>
  </w:style>
  <w:style w:type="paragraph" w:customStyle="1" w:styleId="ordw-right">
    <w:name w:val="ordw-right"/>
    <w:basedOn w:val="a"/>
    <w:uiPriority w:val="99"/>
    <w:semiHidden/>
    <w:pPr>
      <w:jc w:val="right"/>
    </w:pPr>
  </w:style>
  <w:style w:type="paragraph" w:customStyle="1" w:styleId="ordw-img">
    <w:name w:val="ordw-img"/>
    <w:basedOn w:val="a"/>
    <w:uiPriority w:val="99"/>
    <w:semiHidden/>
    <w:pPr>
      <w:spacing w:before="100" w:beforeAutospacing="1" w:after="100" w:afterAutospacing="1"/>
    </w:pPr>
  </w:style>
  <w:style w:type="paragraph" w:customStyle="1" w:styleId="ordw-table-0">
    <w:name w:val="ordw-table-0"/>
    <w:basedOn w:val="a"/>
    <w:uiPriority w:val="99"/>
    <w:semiHidden/>
    <w:pPr>
      <w:spacing w:before="100" w:beforeAutospacing="1" w:after="100" w:afterAutospacing="1"/>
    </w:pPr>
  </w:style>
  <w:style w:type="paragraph" w:customStyle="1" w:styleId="ordw-table-1">
    <w:name w:val="ordw-table-1"/>
    <w:basedOn w:val="a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</w:style>
  <w:style w:type="paragraph" w:customStyle="1" w:styleId="ordw-table-2">
    <w:name w:val="ordw-table-2"/>
    <w:basedOn w:val="a"/>
    <w:uiPriority w:val="99"/>
    <w:semiHidden/>
    <w:pPr>
      <w:spacing w:before="100" w:beforeAutospacing="1" w:after="100" w:afterAutospacing="1"/>
    </w:pPr>
  </w:style>
  <w:style w:type="paragraph" w:customStyle="1" w:styleId="ordw-table-3">
    <w:name w:val="ordw-table-3"/>
    <w:basedOn w:val="a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</w:style>
  <w:style w:type="paragraph" w:customStyle="1" w:styleId="ordw-table-wrapper">
    <w:name w:val="ordw-table-wrapper"/>
    <w:basedOn w:val="a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</w:pPr>
  </w:style>
  <w:style w:type="paragraph" w:customStyle="1" w:styleId="ordw-comment">
    <w:name w:val="ordw-comment"/>
    <w:basedOn w:val="a"/>
    <w:uiPriority w:val="99"/>
    <w:semiHidden/>
    <w:pPr>
      <w:spacing w:before="100" w:beforeAutospacing="1" w:after="100" w:afterAutospacing="1"/>
    </w:pPr>
  </w:style>
  <w:style w:type="paragraph" w:customStyle="1" w:styleId="ordw-label">
    <w:name w:val="ordw-label"/>
    <w:basedOn w:val="a"/>
    <w:uiPriority w:val="99"/>
    <w:semiHidden/>
    <w:pPr>
      <w:spacing w:before="100" w:beforeAutospacing="1" w:after="100" w:afterAutospacing="1" w:line="480" w:lineRule="auto"/>
    </w:pPr>
  </w:style>
  <w:style w:type="paragraph" w:customStyle="1" w:styleId="ordw-expand">
    <w:name w:val="ordw-expand"/>
    <w:basedOn w:val="a"/>
    <w:uiPriority w:val="99"/>
    <w:semiHidden/>
    <w:pPr>
      <w:spacing w:before="100" w:beforeAutospacing="1" w:after="75"/>
    </w:pPr>
  </w:style>
  <w:style w:type="paragraph" w:customStyle="1" w:styleId="old">
    <w:name w:val="old"/>
    <w:basedOn w:val="a"/>
    <w:uiPriority w:val="99"/>
    <w:semiHidden/>
    <w:pPr>
      <w:spacing w:before="100" w:beforeAutospacing="1" w:after="100" w:afterAutospacing="1"/>
    </w:pPr>
  </w:style>
  <w:style w:type="paragraph" w:customStyle="1" w:styleId="new">
    <w:name w:val="new"/>
    <w:basedOn w:val="a"/>
    <w:uiPriority w:val="99"/>
    <w:semiHidden/>
    <w:pPr>
      <w:spacing w:before="100" w:beforeAutospacing="1" w:after="100" w:afterAutospacing="1"/>
    </w:pPr>
  </w:style>
  <w:style w:type="paragraph" w:customStyle="1" w:styleId="old1">
    <w:name w:val="old1"/>
    <w:basedOn w:val="a"/>
    <w:uiPriority w:val="99"/>
    <w:semiHidden/>
    <w:pPr>
      <w:shd w:val="clear" w:color="auto" w:fill="DDDDDD"/>
      <w:ind w:firstLine="240"/>
    </w:pPr>
    <w:rPr>
      <w:vanish/>
      <w:color w:val="CC0000"/>
    </w:rPr>
  </w:style>
  <w:style w:type="paragraph" w:customStyle="1" w:styleId="new1">
    <w:name w:val="new1"/>
    <w:basedOn w:val="a"/>
    <w:uiPriority w:val="99"/>
    <w:semiHidden/>
    <w:pPr>
      <w:shd w:val="clear" w:color="auto" w:fill="FFFFFF"/>
      <w:ind w:firstLine="240"/>
    </w:pPr>
    <w:rPr>
      <w:color w:val="00AA00"/>
    </w:rPr>
  </w:style>
  <w:style w:type="paragraph" w:customStyle="1" w:styleId="ordw-urobr">
    <w:name w:val="ordw-urobr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ontent-old">
    <w:name w:val="content-old"/>
    <w:basedOn w:val="a"/>
    <w:uiPriority w:val="99"/>
    <w:semiHidden/>
    <w:pPr>
      <w:spacing w:before="100" w:beforeAutospacing="1" w:after="100" w:afterAutospacing="1"/>
    </w:pPr>
  </w:style>
  <w:style w:type="paragraph" w:customStyle="1" w:styleId="old2">
    <w:name w:val="old2"/>
    <w:basedOn w:val="a"/>
    <w:uiPriority w:val="99"/>
    <w:semiHidden/>
    <w:pPr>
      <w:shd w:val="clear" w:color="auto" w:fill="DDDDDD"/>
      <w:ind w:firstLine="240"/>
    </w:pPr>
    <w:rPr>
      <w:vanish/>
      <w:color w:val="CC0000"/>
    </w:rPr>
  </w:style>
  <w:style w:type="paragraph" w:customStyle="1" w:styleId="new2">
    <w:name w:val="new2"/>
    <w:basedOn w:val="a"/>
    <w:uiPriority w:val="99"/>
    <w:semiHidden/>
    <w:pPr>
      <w:shd w:val="clear" w:color="auto" w:fill="FFFFFF"/>
      <w:ind w:firstLine="240"/>
    </w:pPr>
    <w:rPr>
      <w:vanish/>
      <w:color w:val="00AA00"/>
    </w:rPr>
  </w:style>
  <w:style w:type="paragraph" w:customStyle="1" w:styleId="content-old1">
    <w:name w:val="content-old1"/>
    <w:basedOn w:val="a"/>
    <w:uiPriority w:val="99"/>
    <w:semiHidden/>
    <w:pPr>
      <w:spacing w:before="100" w:beforeAutospacing="1" w:after="100" w:afterAutospacing="1"/>
    </w:pPr>
    <w:rPr>
      <w:vanish/>
      <w:color w:val="BBBBB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44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1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81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lta.ru/tamdoc/11sr0768/" TargetMode="External"/><Relationship Id="rId18" Type="http://schemas.openxmlformats.org/officeDocument/2006/relationships/hyperlink" Target="https://www.alta.ru/tamdoc/17sr0021/" TargetMode="External"/><Relationship Id="rId26" Type="http://schemas.openxmlformats.org/officeDocument/2006/relationships/hyperlink" Target="https://www.alta.ru/tamdoc/11sr0710/" TargetMode="External"/><Relationship Id="rId39" Type="http://schemas.openxmlformats.org/officeDocument/2006/relationships/hyperlink" Target="https://www.alta.ru/tamdoc/17sr0040/" TargetMode="External"/><Relationship Id="rId21" Type="http://schemas.openxmlformats.org/officeDocument/2006/relationships/hyperlink" Target="https://www.alta.ru/tamdoc/12sr0060/" TargetMode="External"/><Relationship Id="rId34" Type="http://schemas.openxmlformats.org/officeDocument/2006/relationships/hyperlink" Target="https://www.alta.ru/tamdoc/11sr0799/" TargetMode="External"/><Relationship Id="rId42" Type="http://schemas.openxmlformats.org/officeDocument/2006/relationships/hyperlink" Target="https://www.alta.ru/tamdoc/16sr0150/" TargetMode="External"/><Relationship Id="rId47" Type="http://schemas.openxmlformats.org/officeDocument/2006/relationships/hyperlink" Target="https://www.alta.ru/tamdoc/14sr0107/" TargetMode="External"/><Relationship Id="rId50" Type="http://schemas.openxmlformats.org/officeDocument/2006/relationships/hyperlink" Target="file:///C:\tamdoc\20sr0018\" TargetMode="External"/><Relationship Id="rId7" Type="http://schemas.openxmlformats.org/officeDocument/2006/relationships/hyperlink" Target="file:///C:\tamdoc\24sr0031\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lta.ru/tamdoc/11sr0825/" TargetMode="External"/><Relationship Id="rId29" Type="http://schemas.openxmlformats.org/officeDocument/2006/relationships/hyperlink" Target="https://www.alta.ru/tamdoc/12sr0057/" TargetMode="External"/><Relationship Id="rId11" Type="http://schemas.openxmlformats.org/officeDocument/2006/relationships/hyperlink" Target="file:///C:\tamdoc\24sr0031\" TargetMode="External"/><Relationship Id="rId24" Type="http://schemas.openxmlformats.org/officeDocument/2006/relationships/hyperlink" Target="https://www.alta.ru/tamdoc/11sr0710/" TargetMode="External"/><Relationship Id="rId32" Type="http://schemas.openxmlformats.org/officeDocument/2006/relationships/hyperlink" Target="https://www.alta.ru/tamdoc/11sr0797/" TargetMode="External"/><Relationship Id="rId37" Type="http://schemas.openxmlformats.org/officeDocument/2006/relationships/hyperlink" Target="https://www.alta.ru/tamdoc/11sr0878/" TargetMode="External"/><Relationship Id="rId40" Type="http://schemas.openxmlformats.org/officeDocument/2006/relationships/hyperlink" Target="https://www.alta.ru/tamdoc/12sr0032/" TargetMode="External"/><Relationship Id="rId45" Type="http://schemas.openxmlformats.org/officeDocument/2006/relationships/hyperlink" Target="https://www.alta.ru/tamdoc/11sr0880/" TargetMode="External"/><Relationship Id="rId53" Type="http://schemas.openxmlformats.org/officeDocument/2006/relationships/theme" Target="theme/theme1.xml"/><Relationship Id="rId5" Type="http://schemas.openxmlformats.org/officeDocument/2006/relationships/hyperlink" Target="file:///C:\tamdoc\20sr0018\" TargetMode="External"/><Relationship Id="rId10" Type="http://schemas.openxmlformats.org/officeDocument/2006/relationships/hyperlink" Target="file:///C:\tamdoc\22sr0163\" TargetMode="External"/><Relationship Id="rId19" Type="http://schemas.openxmlformats.org/officeDocument/2006/relationships/hyperlink" Target="https://www.alta.ru/tamdoc/11sr0824/" TargetMode="External"/><Relationship Id="rId31" Type="http://schemas.openxmlformats.org/officeDocument/2006/relationships/hyperlink" Target="https://www.alta.ru/tamdoc/11sr0798/" TargetMode="External"/><Relationship Id="rId44" Type="http://schemas.openxmlformats.org/officeDocument/2006/relationships/hyperlink" Target="https://www.alta.ru/tamdoc/12sr0059/" TargetMode="External"/><Relationship Id="rId52" Type="http://schemas.openxmlformats.org/officeDocument/2006/relationships/fontTable" Target="fontTable.xml"/><Relationship Id="rId4" Type="http://schemas.openxmlformats.org/officeDocument/2006/relationships/hyperlink" Target="file:///C:\tamdoc\12sr0102\" TargetMode="External"/><Relationship Id="rId9" Type="http://schemas.openxmlformats.org/officeDocument/2006/relationships/hyperlink" Target="file:///C:\tamdoc\20sr0018\" TargetMode="External"/><Relationship Id="rId14" Type="http://schemas.openxmlformats.org/officeDocument/2006/relationships/hyperlink" Target="https://www.alta.ru/tamdoc/11sr0875/" TargetMode="External"/><Relationship Id="rId22" Type="http://schemas.openxmlformats.org/officeDocument/2006/relationships/hyperlink" Target="https://www.alta.ru/tamdoc/12sr0060/" TargetMode="External"/><Relationship Id="rId27" Type="http://schemas.openxmlformats.org/officeDocument/2006/relationships/hyperlink" Target="https://www.alta.ru/tamdoc/11sr0827/" TargetMode="External"/><Relationship Id="rId30" Type="http://schemas.openxmlformats.org/officeDocument/2006/relationships/hyperlink" Target="https://www.alta.ru/tamdoc/11sr0876/" TargetMode="External"/><Relationship Id="rId35" Type="http://schemas.openxmlformats.org/officeDocument/2006/relationships/hyperlink" Target="https://www.alta.ru/tamdoc/11sr0799/" TargetMode="External"/><Relationship Id="rId43" Type="http://schemas.openxmlformats.org/officeDocument/2006/relationships/hyperlink" Target="https://www.alta.ru/tamdoc/11sr0826/" TargetMode="External"/><Relationship Id="rId48" Type="http://schemas.openxmlformats.org/officeDocument/2006/relationships/hyperlink" Target="file:///C:\tamdoc\22sr0163\" TargetMode="External"/><Relationship Id="rId8" Type="http://schemas.openxmlformats.org/officeDocument/2006/relationships/hyperlink" Target="file:///C:\tamdoc\12sr0102\" TargetMode="External"/><Relationship Id="rId51" Type="http://schemas.openxmlformats.org/officeDocument/2006/relationships/hyperlink" Target="file:///C:\tamdoc\24sr0031\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alta.ru/tamdoc/11sr0823/" TargetMode="External"/><Relationship Id="rId17" Type="http://schemas.openxmlformats.org/officeDocument/2006/relationships/hyperlink" Target="https://www.alta.ru/tamdoc/16sr0114/" TargetMode="External"/><Relationship Id="rId25" Type="http://schemas.openxmlformats.org/officeDocument/2006/relationships/hyperlink" Target="https://www.alta.ru/tamdoc/12sr0033/" TargetMode="External"/><Relationship Id="rId33" Type="http://schemas.openxmlformats.org/officeDocument/2006/relationships/hyperlink" Target="https://www.alta.ru/tamdoc/11sr0797/" TargetMode="External"/><Relationship Id="rId38" Type="http://schemas.openxmlformats.org/officeDocument/2006/relationships/hyperlink" Target="https://www.alta.ru/tamdoc/17sr0040/" TargetMode="External"/><Relationship Id="rId46" Type="http://schemas.openxmlformats.org/officeDocument/2006/relationships/hyperlink" Target="https://www.alta.ru/tamdoc/11sr0874/" TargetMode="External"/><Relationship Id="rId20" Type="http://schemas.openxmlformats.org/officeDocument/2006/relationships/hyperlink" Target="https://www.alta.ru/tamdoc/11sr0877/" TargetMode="External"/><Relationship Id="rId41" Type="http://schemas.openxmlformats.org/officeDocument/2006/relationships/hyperlink" Target="https://www.alta.ru/tamdoc/17sr0019/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tamdoc\22sr0163\" TargetMode="External"/><Relationship Id="rId15" Type="http://schemas.openxmlformats.org/officeDocument/2006/relationships/hyperlink" Target="https://www.alta.ru/tamdoc/13sr0041/" TargetMode="External"/><Relationship Id="rId23" Type="http://schemas.openxmlformats.org/officeDocument/2006/relationships/hyperlink" Target="https://www.alta.ru/tamdoc/12sr0060/" TargetMode="External"/><Relationship Id="rId28" Type="http://schemas.openxmlformats.org/officeDocument/2006/relationships/hyperlink" Target="https://www.alta.ru/tamdoc/11sr0770/" TargetMode="External"/><Relationship Id="rId36" Type="http://schemas.openxmlformats.org/officeDocument/2006/relationships/hyperlink" Target="https://www.alta.ru/tamdoc/11sr0769/" TargetMode="External"/><Relationship Id="rId49" Type="http://schemas.openxmlformats.org/officeDocument/2006/relationships/hyperlink" Target="file:///C:\tamdoc\11sr0526\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КТС от 28.01.2011 № 526 "О Едином перечне продукции, в отношении которой устанавливаются обязательные требования в рамках Таможенного союза". Таможенные документы :: Альта-Софт</vt:lpstr>
    </vt:vector>
  </TitlesOfParts>
  <Company/>
  <LinksUpToDate>false</LinksUpToDate>
  <CharactersWithSpaces>14271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КТС от 28.01.2011 № 526 "О Едином перечне продукции, в отношении которой устанавливаются обязательные требования в рамках Таможенного союза". Таможенные документы :: Альта-Софт</dc:title>
  <dc:subject/>
  <dc:creator>Хайруллин Салават Рустамович</dc:creator>
  <cp:keywords/>
  <dc:description/>
  <cp:lastModifiedBy>Хайруллин Салават Рустамович</cp:lastModifiedBy>
  <cp:revision>2</cp:revision>
  <dcterms:created xsi:type="dcterms:W3CDTF">2024-11-02T11:36:00Z</dcterms:created>
  <dcterms:modified xsi:type="dcterms:W3CDTF">2024-11-02T11:36:00Z</dcterms:modified>
</cp:coreProperties>
</file>